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5F32">
      <w:pPr>
        <w:widowControl/>
        <w:tabs>
          <w:tab w:val="left" w:pos="1497"/>
        </w:tabs>
        <w:spacing w:line="360" w:lineRule="auto"/>
        <w:jc w:val="left"/>
        <w:rPr>
          <w:rFonts w:hint="eastAsia" w:ascii="宋体" w:hAnsi="宋体" w:eastAsia="宋体"/>
          <w:sz w:val="24"/>
          <w:szCs w:val="28"/>
        </w:rPr>
      </w:pPr>
    </w:p>
    <w:p w14:paraId="28847E49">
      <w:pPr>
        <w:pStyle w:val="2"/>
        <w:spacing w:before="0" w:after="0"/>
        <w:rPr>
          <w:rFonts w:hint="eastAsia" w:ascii="宋体" w:hAnsi="宋体" w:eastAsia="宋体"/>
        </w:rPr>
      </w:pPr>
      <w:r>
        <w:rPr>
          <w:rFonts w:hint="eastAsia" w:ascii="宋体" w:hAnsi="宋体" w:eastAsia="宋体"/>
        </w:rPr>
        <w:t>项目介绍</w:t>
      </w:r>
    </w:p>
    <w:p w14:paraId="6D8CAADA">
      <w:pPr>
        <w:pStyle w:val="3"/>
        <w:spacing w:before="0" w:after="0" w:line="360" w:lineRule="auto"/>
        <w:rPr>
          <w:rFonts w:hint="eastAsia"/>
        </w:rPr>
      </w:pPr>
      <w:r>
        <w:rPr>
          <w:rFonts w:hint="eastAsia"/>
        </w:rPr>
        <w:t>项目名称</w:t>
      </w:r>
    </w:p>
    <w:p w14:paraId="5BE8696F">
      <w:pPr>
        <w:spacing w:line="360" w:lineRule="auto"/>
        <w:ind w:firstLine="420" w:firstLineChars="200"/>
        <w:rPr>
          <w:rFonts w:hint="eastAsia" w:ascii="宋体" w:hAnsi="宋体" w:eastAsia="宋体"/>
        </w:rPr>
      </w:pPr>
      <w:r>
        <w:rPr>
          <w:rFonts w:hint="eastAsia" w:ascii="宋体" w:hAnsi="宋体" w:eastAsia="宋体"/>
        </w:rPr>
        <w:t>项目名称：中山大学附属口腔医院数据安全治理分级分类服务项目</w:t>
      </w:r>
    </w:p>
    <w:p w14:paraId="3843D10B">
      <w:pPr>
        <w:pStyle w:val="3"/>
        <w:spacing w:before="0" w:after="0" w:line="360" w:lineRule="auto"/>
        <w:rPr>
          <w:rFonts w:hint="eastAsia"/>
        </w:rPr>
      </w:pPr>
      <w:r>
        <w:rPr>
          <w:rFonts w:hint="eastAsia"/>
        </w:rPr>
        <w:t>项目目标</w:t>
      </w:r>
    </w:p>
    <w:p w14:paraId="5ADDEFB6">
      <w:pPr>
        <w:spacing w:line="360" w:lineRule="auto"/>
        <w:ind w:firstLine="420" w:firstLineChars="200"/>
        <w:rPr>
          <w:rFonts w:hint="eastAsia" w:ascii="宋体" w:hAnsi="宋体" w:eastAsia="宋体"/>
        </w:rPr>
      </w:pPr>
      <w:bookmarkStart w:id="0" w:name="OLE_LINK2"/>
      <w:r>
        <w:rPr>
          <w:rFonts w:hint="eastAsia" w:ascii="宋体" w:hAnsi="宋体" w:eastAsia="宋体"/>
        </w:rPr>
        <w:t>新基建背景下，数据已经成为重要生产要素。医院的数字化不是堆系统，而是要建可持续、可复用、可核验的数据底座。把数据安全治理当成基础工程来做，技术、制度、流程、组织四方面同时推进，才能让数据安全真正辅助业务决策、辅助高质量数据集以及人工智能的有效落地，从而对医院产生价值，把数据背后的力量真正转化为医院的运营能力与临床价值，支撑智慧医院、互联网医院等创新业务安全开展。</w:t>
      </w:r>
    </w:p>
    <w:p w14:paraId="3E935BC8">
      <w:pPr>
        <w:spacing w:line="360" w:lineRule="auto"/>
        <w:ind w:firstLine="420" w:firstLineChars="200"/>
        <w:rPr>
          <w:rFonts w:hint="default" w:ascii="宋体" w:hAnsi="宋体" w:eastAsia="宋体"/>
          <w:lang w:val="en-US" w:eastAsia="zh-CN"/>
        </w:rPr>
      </w:pPr>
      <w:r>
        <w:rPr>
          <w:rFonts w:hint="eastAsia" w:ascii="宋体" w:hAnsi="宋体" w:eastAsia="宋体"/>
          <w:lang w:val="en-US" w:eastAsia="zh-CN"/>
        </w:rPr>
        <w:t>我院自 2025 年 9 月启动数据安全分级分类治理服务项目，已完成数据资产全面盘点、核心业务系统数据分类分级工作，编制完善数据安全管理制度，建成适配我院的数据安全管理体系，为数据安全建设筑牢基础。同步开展敏感接口风险监测及安全意识培训，规范了全院数据安全标准及工作流程。</w:t>
      </w:r>
    </w:p>
    <w:p w14:paraId="53A70149">
      <w:pPr>
        <w:spacing w:line="360" w:lineRule="auto"/>
        <w:ind w:firstLine="420" w:firstLineChars="200"/>
        <w:rPr>
          <w:rFonts w:hint="eastAsia" w:ascii="宋体" w:hAnsi="宋体" w:eastAsia="宋体"/>
        </w:rPr>
      </w:pPr>
      <w:r>
        <w:rPr>
          <w:rFonts w:hint="eastAsia" w:ascii="宋体" w:hAnsi="宋体" w:eastAsia="宋体"/>
        </w:rPr>
        <w:t>在本次项目中，要求供应商凭借工具能力以及服务工程师的知识与经验，为我院梳理并盘点业务后续活动、经营管理以及技术活动中存在的数据安全风险点，完成数据安全威胁建模，通过数智化智能大屏实现风险跟踪。</w:t>
      </w:r>
    </w:p>
    <w:p w14:paraId="43B5FEA9">
      <w:pPr>
        <w:spacing w:line="360" w:lineRule="auto"/>
        <w:ind w:firstLine="420" w:firstLineChars="200"/>
        <w:rPr>
          <w:rFonts w:hint="eastAsia" w:ascii="宋体" w:hAnsi="宋体" w:eastAsia="宋体"/>
        </w:rPr>
      </w:pPr>
      <w:r>
        <w:rPr>
          <w:rFonts w:hint="eastAsia" w:ascii="宋体" w:hAnsi="宋体" w:eastAsia="宋体"/>
        </w:rPr>
        <w:t>同时，需依据我院实际情况，对风险采取有效处置与规避等措施，直至风险实现闭环管理。此外，在数据使用过程中，应针对不同人员、场景和数据类别，采取相应的安全措施，以在满足业务用数需求的同时，实现安全能力的无感化加持，达成“数据可用”与“数据安全”的动态平衡。</w:t>
      </w:r>
    </w:p>
    <w:p w14:paraId="051B10D0">
      <w:pPr>
        <w:spacing w:line="360" w:lineRule="auto"/>
        <w:ind w:firstLine="420" w:firstLineChars="200"/>
        <w:rPr>
          <w:szCs w:val="21"/>
        </w:rPr>
      </w:pPr>
      <w:r>
        <w:rPr>
          <w:rFonts w:hint="eastAsia" w:ascii="宋体" w:hAnsi="宋体" w:eastAsia="宋体"/>
        </w:rPr>
        <w:t>此外，要降低数据泄漏的可能性，减少数据安全事件的发生概率，提前管控数据安全风险，将被动“救火”转变为主动“防控”</w:t>
      </w:r>
      <w:r>
        <w:rPr>
          <w:rFonts w:ascii="宋体" w:hAnsi="宋体" w:eastAsia="宋体"/>
          <w:color w:val="000000" w:themeColor="text1"/>
          <w14:textFill>
            <w14:solidFill>
              <w14:schemeClr w14:val="tx1"/>
            </w14:solidFill>
          </w14:textFill>
        </w:rPr>
        <w:t>。</w:t>
      </w:r>
      <w:bookmarkEnd w:id="0"/>
    </w:p>
    <w:p w14:paraId="0ED8B74F">
      <w:pPr>
        <w:pStyle w:val="3"/>
        <w:spacing w:before="0" w:after="0" w:line="360" w:lineRule="auto"/>
        <w:rPr>
          <w:rFonts w:hint="eastAsia"/>
        </w:rPr>
      </w:pPr>
      <w:r>
        <w:rPr>
          <w:rFonts w:hint="eastAsia"/>
        </w:rPr>
        <w:t>项目周期</w:t>
      </w:r>
    </w:p>
    <w:p w14:paraId="5E96DD50">
      <w:pPr>
        <w:tabs>
          <w:tab w:val="left" w:pos="1440"/>
        </w:tabs>
        <w:spacing w:line="360" w:lineRule="auto"/>
        <w:ind w:firstLine="420" w:firstLineChars="200"/>
        <w:rPr>
          <w:rFonts w:hint="eastAsia" w:ascii="宋体" w:hAnsi="宋体" w:eastAsia="宋体"/>
        </w:rPr>
      </w:pPr>
      <w:r>
        <w:rPr>
          <w:rFonts w:hint="eastAsia" w:ascii="宋体" w:hAnsi="宋体" w:eastAsia="宋体"/>
        </w:rPr>
        <w:t>本项目服务周期为1年。</w:t>
      </w:r>
    </w:p>
    <w:p w14:paraId="493330D4">
      <w:pPr>
        <w:pStyle w:val="2"/>
        <w:spacing w:before="0" w:after="0"/>
        <w:rPr>
          <w:rFonts w:hint="eastAsia" w:ascii="宋体" w:hAnsi="宋体" w:eastAsia="宋体"/>
        </w:rPr>
      </w:pPr>
      <w:bookmarkStart w:id="1" w:name="OLE_LINK3"/>
      <w:r>
        <w:rPr>
          <w:rFonts w:hint="eastAsia" w:ascii="宋体" w:hAnsi="宋体" w:eastAsia="宋体"/>
        </w:rPr>
        <w:t>项目需求</w:t>
      </w:r>
    </w:p>
    <w:bookmarkEnd w:id="1"/>
    <w:p w14:paraId="584C1167">
      <w:pPr>
        <w:pStyle w:val="37"/>
        <w:keepNext/>
        <w:keepLines/>
        <w:numPr>
          <w:ilvl w:val="0"/>
          <w:numId w:val="2"/>
        </w:numPr>
        <w:spacing w:line="360" w:lineRule="auto"/>
        <w:contextualSpacing w:val="0"/>
        <w:outlineLvl w:val="1"/>
        <w:rPr>
          <w:rFonts w:hint="eastAsia" w:ascii="宋体" w:hAnsi="宋体" w:eastAsia="宋体" w:cstheme="majorBidi"/>
          <w:b/>
          <w:bCs/>
          <w:vanish/>
          <w:sz w:val="40"/>
          <w:szCs w:val="40"/>
        </w:rPr>
      </w:pPr>
    </w:p>
    <w:p w14:paraId="55279677">
      <w:pPr>
        <w:pStyle w:val="3"/>
        <w:spacing w:before="0" w:after="0" w:line="360" w:lineRule="auto"/>
        <w:rPr>
          <w:rFonts w:hint="eastAsia"/>
        </w:rPr>
      </w:pPr>
      <w:r>
        <w:rPr>
          <w:rFonts w:hint="eastAsia"/>
        </w:rPr>
        <w:t>需求一览表</w:t>
      </w:r>
    </w:p>
    <w:p w14:paraId="344E3895">
      <w:pPr>
        <w:tabs>
          <w:tab w:val="left" w:pos="1440"/>
        </w:tabs>
        <w:spacing w:line="360" w:lineRule="auto"/>
        <w:ind w:firstLine="420" w:firstLineChars="200"/>
      </w:pPr>
      <w:r>
        <w:rPr>
          <w:rFonts w:hint="eastAsia" w:ascii="宋体" w:hAnsi="宋体" w:eastAsia="宋体"/>
        </w:rPr>
        <w:t>年度数据安全服务内容包括以下：</w:t>
      </w:r>
    </w:p>
    <w:tbl>
      <w:tblPr>
        <w:tblStyle w:val="19"/>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950"/>
        <w:gridCol w:w="1019"/>
        <w:gridCol w:w="1311"/>
      </w:tblGrid>
      <w:tr w14:paraId="096F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3B185410">
            <w:pPr>
              <w:jc w:val="center"/>
              <w:rPr>
                <w:rFonts w:hint="eastAsia" w:ascii="宋体" w:hAnsi="宋体" w:eastAsia="宋体"/>
                <w:b/>
                <w:bCs/>
                <w:sz w:val="24"/>
                <w:szCs w:val="24"/>
              </w:rPr>
            </w:pPr>
            <w:r>
              <w:rPr>
                <w:rFonts w:hint="eastAsia" w:ascii="宋体" w:hAnsi="宋体" w:eastAsia="宋体"/>
                <w:b/>
                <w:bCs/>
                <w:sz w:val="24"/>
                <w:szCs w:val="24"/>
              </w:rPr>
              <w:t>序号</w:t>
            </w:r>
          </w:p>
        </w:tc>
        <w:tc>
          <w:tcPr>
            <w:tcW w:w="2983" w:type="pct"/>
            <w:vAlign w:val="center"/>
          </w:tcPr>
          <w:p w14:paraId="397882BD">
            <w:pPr>
              <w:jc w:val="center"/>
              <w:rPr>
                <w:rFonts w:hint="eastAsia" w:ascii="宋体" w:hAnsi="宋体" w:eastAsia="宋体"/>
                <w:b/>
                <w:bCs/>
                <w:sz w:val="24"/>
                <w:szCs w:val="24"/>
              </w:rPr>
            </w:pPr>
            <w:r>
              <w:rPr>
                <w:rFonts w:hint="eastAsia" w:ascii="宋体" w:hAnsi="宋体" w:eastAsia="宋体"/>
                <w:b/>
                <w:bCs/>
                <w:sz w:val="24"/>
                <w:szCs w:val="24"/>
              </w:rPr>
              <w:t>服务名称</w:t>
            </w:r>
          </w:p>
        </w:tc>
        <w:tc>
          <w:tcPr>
            <w:tcW w:w="614" w:type="pct"/>
          </w:tcPr>
          <w:p w14:paraId="2BE5123F">
            <w:pPr>
              <w:jc w:val="center"/>
              <w:rPr>
                <w:rFonts w:hint="eastAsia" w:ascii="宋体" w:hAnsi="宋体" w:eastAsia="宋体"/>
                <w:b/>
                <w:bCs/>
                <w:sz w:val="24"/>
                <w:szCs w:val="24"/>
              </w:rPr>
            </w:pPr>
            <w:r>
              <w:rPr>
                <w:rFonts w:hint="eastAsia" w:ascii="宋体" w:hAnsi="宋体" w:eastAsia="宋体"/>
                <w:b/>
                <w:bCs/>
                <w:sz w:val="24"/>
                <w:szCs w:val="24"/>
              </w:rPr>
              <w:t>数量</w:t>
            </w:r>
          </w:p>
        </w:tc>
        <w:tc>
          <w:tcPr>
            <w:tcW w:w="790" w:type="pct"/>
          </w:tcPr>
          <w:p w14:paraId="75234DD8">
            <w:pPr>
              <w:jc w:val="center"/>
              <w:rPr>
                <w:rFonts w:hint="eastAsia" w:ascii="宋体" w:hAnsi="宋体" w:eastAsia="宋体"/>
                <w:b/>
                <w:bCs/>
                <w:sz w:val="24"/>
                <w:szCs w:val="24"/>
              </w:rPr>
            </w:pPr>
            <w:r>
              <w:rPr>
                <w:rFonts w:hint="eastAsia" w:ascii="宋体" w:hAnsi="宋体" w:eastAsia="宋体"/>
                <w:b/>
                <w:bCs/>
                <w:sz w:val="24"/>
                <w:szCs w:val="24"/>
              </w:rPr>
              <w:t>单位</w:t>
            </w:r>
          </w:p>
        </w:tc>
      </w:tr>
      <w:tr w14:paraId="1422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pct"/>
            <w:vAlign w:val="center"/>
          </w:tcPr>
          <w:p w14:paraId="168D3C63">
            <w:pPr>
              <w:jc w:val="center"/>
              <w:rPr>
                <w:rFonts w:hint="eastAsia" w:ascii="宋体" w:hAnsi="宋体" w:eastAsia="宋体"/>
                <w:sz w:val="18"/>
                <w:szCs w:val="18"/>
              </w:rPr>
            </w:pPr>
            <w:r>
              <w:rPr>
                <w:rFonts w:ascii="宋体" w:hAnsi="宋体" w:eastAsia="宋体"/>
                <w:sz w:val="18"/>
                <w:szCs w:val="18"/>
              </w:rPr>
              <w:t>1</w:t>
            </w:r>
          </w:p>
        </w:tc>
        <w:tc>
          <w:tcPr>
            <w:tcW w:w="2983" w:type="pct"/>
            <w:vAlign w:val="center"/>
          </w:tcPr>
          <w:p w14:paraId="4CB812C7">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数据安全统一治理服务</w:t>
            </w:r>
          </w:p>
        </w:tc>
        <w:tc>
          <w:tcPr>
            <w:tcW w:w="614" w:type="pct"/>
            <w:vAlign w:val="center"/>
          </w:tcPr>
          <w:p w14:paraId="4445F689">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rPr>
              <w:t>1</w:t>
            </w:r>
          </w:p>
        </w:tc>
        <w:tc>
          <w:tcPr>
            <w:tcW w:w="790" w:type="pct"/>
            <w:vAlign w:val="center"/>
          </w:tcPr>
          <w:p w14:paraId="3280D620">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项</w:t>
            </w:r>
          </w:p>
        </w:tc>
      </w:tr>
      <w:tr w14:paraId="312B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pct"/>
            <w:vAlign w:val="center"/>
          </w:tcPr>
          <w:p w14:paraId="6AA76DBA">
            <w:pPr>
              <w:jc w:val="center"/>
              <w:rPr>
                <w:rFonts w:hint="eastAsia" w:ascii="宋体" w:hAnsi="宋体" w:eastAsia="宋体"/>
                <w:sz w:val="18"/>
                <w:szCs w:val="18"/>
              </w:rPr>
            </w:pPr>
            <w:r>
              <w:rPr>
                <w:rFonts w:hint="eastAsia" w:ascii="宋体" w:hAnsi="宋体" w:eastAsia="宋体"/>
                <w:sz w:val="18"/>
                <w:szCs w:val="18"/>
              </w:rPr>
              <w:t>2</w:t>
            </w:r>
          </w:p>
        </w:tc>
        <w:tc>
          <w:tcPr>
            <w:tcW w:w="2983" w:type="pct"/>
            <w:vAlign w:val="center"/>
          </w:tcPr>
          <w:p w14:paraId="323F8151">
            <w:pPr>
              <w:jc w:val="center"/>
              <w:rPr>
                <w:rFonts w:hint="eastAsia" w:ascii="宋体" w:hAnsi="宋体" w:eastAsia="宋体"/>
                <w:bCs/>
                <w:color w:val="000000"/>
                <w:sz w:val="18"/>
                <w:szCs w:val="18"/>
              </w:rPr>
            </w:pPr>
            <w:r>
              <w:rPr>
                <w:rFonts w:hint="eastAsia" w:ascii="宋体" w:hAnsi="宋体" w:eastAsia="宋体"/>
                <w:bCs/>
                <w:color w:val="000000"/>
                <w:sz w:val="18"/>
                <w:szCs w:val="18"/>
                <w:lang w:eastAsia="zh-Hans"/>
              </w:rPr>
              <w:t>数据安全风险评估服务</w:t>
            </w:r>
          </w:p>
        </w:tc>
        <w:tc>
          <w:tcPr>
            <w:tcW w:w="614" w:type="pct"/>
            <w:vAlign w:val="center"/>
          </w:tcPr>
          <w:p w14:paraId="36929135">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rPr>
              <w:t>1</w:t>
            </w:r>
          </w:p>
        </w:tc>
        <w:tc>
          <w:tcPr>
            <w:tcW w:w="790" w:type="pct"/>
            <w:vAlign w:val="center"/>
          </w:tcPr>
          <w:p w14:paraId="7B0F61B9">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项</w:t>
            </w:r>
          </w:p>
        </w:tc>
      </w:tr>
      <w:tr w14:paraId="0CA5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pct"/>
            <w:vAlign w:val="center"/>
          </w:tcPr>
          <w:p w14:paraId="799DF59F">
            <w:pPr>
              <w:jc w:val="center"/>
              <w:rPr>
                <w:rFonts w:hint="eastAsia" w:ascii="宋体" w:hAnsi="宋体" w:eastAsia="宋体"/>
                <w:sz w:val="18"/>
                <w:szCs w:val="18"/>
              </w:rPr>
            </w:pPr>
            <w:r>
              <w:rPr>
                <w:rFonts w:hint="eastAsia" w:ascii="宋体" w:hAnsi="宋体" w:eastAsia="宋体"/>
                <w:sz w:val="18"/>
                <w:szCs w:val="18"/>
              </w:rPr>
              <w:t>3</w:t>
            </w:r>
          </w:p>
        </w:tc>
        <w:tc>
          <w:tcPr>
            <w:tcW w:w="2983" w:type="pct"/>
            <w:vAlign w:val="center"/>
          </w:tcPr>
          <w:p w14:paraId="52B43188">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数据安全资产标识服务</w:t>
            </w:r>
          </w:p>
        </w:tc>
        <w:tc>
          <w:tcPr>
            <w:tcW w:w="614" w:type="pct"/>
            <w:vAlign w:val="center"/>
          </w:tcPr>
          <w:p w14:paraId="424BE023">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rPr>
              <w:t>1</w:t>
            </w:r>
          </w:p>
        </w:tc>
        <w:tc>
          <w:tcPr>
            <w:tcW w:w="790" w:type="pct"/>
            <w:vAlign w:val="center"/>
          </w:tcPr>
          <w:p w14:paraId="5B955CC2">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项</w:t>
            </w:r>
          </w:p>
        </w:tc>
      </w:tr>
      <w:tr w14:paraId="6456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pct"/>
            <w:vAlign w:val="center"/>
          </w:tcPr>
          <w:p w14:paraId="60A6C04A">
            <w:pPr>
              <w:jc w:val="center"/>
              <w:rPr>
                <w:rFonts w:hint="eastAsia" w:ascii="宋体" w:hAnsi="宋体" w:eastAsia="宋体"/>
                <w:sz w:val="18"/>
                <w:szCs w:val="18"/>
              </w:rPr>
            </w:pPr>
            <w:r>
              <w:rPr>
                <w:rFonts w:hint="eastAsia" w:ascii="宋体" w:hAnsi="宋体" w:eastAsia="宋体"/>
                <w:sz w:val="18"/>
                <w:szCs w:val="18"/>
              </w:rPr>
              <w:t>4</w:t>
            </w:r>
          </w:p>
        </w:tc>
        <w:tc>
          <w:tcPr>
            <w:tcW w:w="2983" w:type="pct"/>
            <w:vAlign w:val="center"/>
          </w:tcPr>
          <w:p w14:paraId="421898FF">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接口梳理与风险监测服务</w:t>
            </w:r>
          </w:p>
        </w:tc>
        <w:tc>
          <w:tcPr>
            <w:tcW w:w="614" w:type="pct"/>
            <w:vAlign w:val="center"/>
          </w:tcPr>
          <w:p w14:paraId="5077456F">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rPr>
              <w:t>1</w:t>
            </w:r>
          </w:p>
        </w:tc>
        <w:tc>
          <w:tcPr>
            <w:tcW w:w="790" w:type="pct"/>
            <w:vAlign w:val="center"/>
          </w:tcPr>
          <w:p w14:paraId="03E60918">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项</w:t>
            </w:r>
          </w:p>
        </w:tc>
      </w:tr>
      <w:tr w14:paraId="6CA0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pct"/>
            <w:vAlign w:val="center"/>
          </w:tcPr>
          <w:p w14:paraId="54209E9F">
            <w:pPr>
              <w:jc w:val="center"/>
              <w:rPr>
                <w:rFonts w:hint="eastAsia" w:ascii="宋体" w:hAnsi="宋体" w:eastAsia="宋体"/>
                <w:sz w:val="18"/>
                <w:szCs w:val="18"/>
              </w:rPr>
            </w:pPr>
            <w:r>
              <w:rPr>
                <w:rFonts w:hint="eastAsia" w:ascii="宋体" w:hAnsi="宋体" w:eastAsia="宋体"/>
                <w:sz w:val="18"/>
                <w:szCs w:val="18"/>
              </w:rPr>
              <w:t>5</w:t>
            </w:r>
          </w:p>
        </w:tc>
        <w:tc>
          <w:tcPr>
            <w:tcW w:w="2983" w:type="pct"/>
            <w:vAlign w:val="center"/>
          </w:tcPr>
          <w:p w14:paraId="02722836">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val="en-US" w:eastAsia="zh-CN"/>
              </w:rPr>
              <w:t>个人信息安全保护服务</w:t>
            </w:r>
          </w:p>
        </w:tc>
        <w:tc>
          <w:tcPr>
            <w:tcW w:w="614" w:type="pct"/>
            <w:vAlign w:val="center"/>
          </w:tcPr>
          <w:p w14:paraId="707D490D">
            <w:pPr>
              <w:jc w:val="center"/>
              <w:rPr>
                <w:rFonts w:hint="eastAsia" w:ascii="宋体" w:hAnsi="宋体" w:eastAsia="宋体"/>
                <w:bCs/>
                <w:color w:val="000000"/>
                <w:sz w:val="18"/>
                <w:szCs w:val="18"/>
              </w:rPr>
            </w:pPr>
            <w:r>
              <w:rPr>
                <w:rFonts w:hint="eastAsia" w:ascii="宋体" w:hAnsi="宋体" w:eastAsia="宋体"/>
                <w:bCs/>
                <w:color w:val="000000"/>
                <w:sz w:val="18"/>
                <w:szCs w:val="18"/>
              </w:rPr>
              <w:t>1</w:t>
            </w:r>
          </w:p>
        </w:tc>
        <w:tc>
          <w:tcPr>
            <w:tcW w:w="790" w:type="pct"/>
            <w:vAlign w:val="center"/>
          </w:tcPr>
          <w:p w14:paraId="116862BA">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项</w:t>
            </w:r>
          </w:p>
        </w:tc>
      </w:tr>
      <w:tr w14:paraId="0431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pct"/>
            <w:vAlign w:val="center"/>
          </w:tcPr>
          <w:p w14:paraId="34835A2A">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6</w:t>
            </w:r>
          </w:p>
        </w:tc>
        <w:tc>
          <w:tcPr>
            <w:tcW w:w="2983" w:type="pct"/>
            <w:vAlign w:val="center"/>
          </w:tcPr>
          <w:p w14:paraId="1B960EA8">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val="en-US" w:eastAsia="zh-CN"/>
              </w:rPr>
              <w:t>数据</w:t>
            </w:r>
            <w:r>
              <w:rPr>
                <w:rFonts w:hint="eastAsia" w:ascii="宋体" w:hAnsi="宋体" w:eastAsia="宋体"/>
                <w:bCs/>
                <w:color w:val="000000"/>
                <w:sz w:val="18"/>
                <w:szCs w:val="18"/>
                <w:lang w:eastAsia="zh-Hans"/>
              </w:rPr>
              <w:t>安全应急保障服务</w:t>
            </w:r>
          </w:p>
        </w:tc>
        <w:tc>
          <w:tcPr>
            <w:tcW w:w="614" w:type="pct"/>
            <w:vAlign w:val="center"/>
          </w:tcPr>
          <w:p w14:paraId="420CF209">
            <w:pPr>
              <w:jc w:val="center"/>
              <w:rPr>
                <w:rFonts w:hint="eastAsia" w:ascii="宋体" w:hAnsi="宋体" w:eastAsia="宋体"/>
                <w:bCs/>
                <w:color w:val="000000"/>
                <w:sz w:val="18"/>
                <w:szCs w:val="18"/>
              </w:rPr>
            </w:pPr>
            <w:r>
              <w:rPr>
                <w:rFonts w:hint="eastAsia" w:ascii="宋体" w:hAnsi="宋体" w:eastAsia="宋体"/>
                <w:bCs/>
                <w:color w:val="000000"/>
                <w:sz w:val="18"/>
                <w:szCs w:val="18"/>
              </w:rPr>
              <w:t>1</w:t>
            </w:r>
          </w:p>
        </w:tc>
        <w:tc>
          <w:tcPr>
            <w:tcW w:w="790" w:type="pct"/>
            <w:vAlign w:val="center"/>
          </w:tcPr>
          <w:p w14:paraId="2FEDAC0C">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项</w:t>
            </w:r>
          </w:p>
        </w:tc>
      </w:tr>
      <w:tr w14:paraId="6360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pct"/>
            <w:vAlign w:val="center"/>
          </w:tcPr>
          <w:p w14:paraId="64B33DC6">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7</w:t>
            </w:r>
          </w:p>
        </w:tc>
        <w:tc>
          <w:tcPr>
            <w:tcW w:w="2983" w:type="pct"/>
            <w:vAlign w:val="center"/>
          </w:tcPr>
          <w:p w14:paraId="490705A7">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val="en-US" w:eastAsia="zh-CN"/>
              </w:rPr>
              <w:t>数据安全</w:t>
            </w:r>
            <w:r>
              <w:rPr>
                <w:rFonts w:hint="eastAsia" w:ascii="宋体" w:hAnsi="宋体" w:eastAsia="宋体"/>
                <w:bCs/>
                <w:color w:val="000000"/>
                <w:sz w:val="18"/>
                <w:szCs w:val="18"/>
                <w:lang w:eastAsia="zh-Hans"/>
              </w:rPr>
              <w:t>应急演练</w:t>
            </w:r>
            <w:r>
              <w:rPr>
                <w:rFonts w:hint="eastAsia" w:ascii="宋体" w:hAnsi="宋体" w:eastAsia="宋体"/>
                <w:bCs/>
                <w:color w:val="000000"/>
                <w:sz w:val="18"/>
                <w:szCs w:val="18"/>
                <w:lang w:val="en-US" w:eastAsia="zh-CN"/>
              </w:rPr>
              <w:t>及培训服务</w:t>
            </w:r>
          </w:p>
        </w:tc>
        <w:tc>
          <w:tcPr>
            <w:tcW w:w="614" w:type="pct"/>
            <w:vAlign w:val="center"/>
          </w:tcPr>
          <w:p w14:paraId="582C8200">
            <w:pPr>
              <w:jc w:val="center"/>
              <w:rPr>
                <w:rFonts w:hint="eastAsia" w:ascii="宋体" w:hAnsi="宋体" w:eastAsia="宋体"/>
                <w:bCs/>
                <w:color w:val="000000"/>
                <w:sz w:val="18"/>
                <w:szCs w:val="18"/>
              </w:rPr>
            </w:pPr>
            <w:r>
              <w:rPr>
                <w:rFonts w:hint="eastAsia" w:ascii="宋体" w:hAnsi="宋体" w:eastAsia="宋体"/>
                <w:bCs/>
                <w:color w:val="000000"/>
                <w:sz w:val="18"/>
                <w:szCs w:val="18"/>
              </w:rPr>
              <w:t>1</w:t>
            </w:r>
          </w:p>
        </w:tc>
        <w:tc>
          <w:tcPr>
            <w:tcW w:w="790" w:type="pct"/>
            <w:vAlign w:val="center"/>
          </w:tcPr>
          <w:p w14:paraId="46FE9479">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项</w:t>
            </w:r>
          </w:p>
        </w:tc>
      </w:tr>
      <w:tr w14:paraId="6F9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pct"/>
            <w:vAlign w:val="center"/>
          </w:tcPr>
          <w:p w14:paraId="173B383E">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8</w:t>
            </w:r>
          </w:p>
        </w:tc>
        <w:tc>
          <w:tcPr>
            <w:tcW w:w="2983" w:type="pct"/>
            <w:vAlign w:val="center"/>
          </w:tcPr>
          <w:p w14:paraId="1503CF26">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val="en-US" w:eastAsia="zh-CN"/>
              </w:rPr>
              <w:t>数据安全迎检服务</w:t>
            </w:r>
          </w:p>
        </w:tc>
        <w:tc>
          <w:tcPr>
            <w:tcW w:w="614" w:type="pct"/>
            <w:vAlign w:val="center"/>
          </w:tcPr>
          <w:p w14:paraId="19B7A707">
            <w:pPr>
              <w:jc w:val="center"/>
              <w:rPr>
                <w:rFonts w:hint="eastAsia" w:ascii="宋体" w:hAnsi="宋体" w:eastAsia="宋体"/>
                <w:bCs/>
                <w:color w:val="000000"/>
                <w:sz w:val="18"/>
                <w:szCs w:val="18"/>
              </w:rPr>
            </w:pPr>
            <w:r>
              <w:rPr>
                <w:rFonts w:hint="eastAsia" w:ascii="宋体" w:hAnsi="宋体" w:eastAsia="宋体"/>
                <w:bCs/>
                <w:color w:val="000000"/>
                <w:sz w:val="18"/>
                <w:szCs w:val="18"/>
              </w:rPr>
              <w:t>1</w:t>
            </w:r>
          </w:p>
        </w:tc>
        <w:tc>
          <w:tcPr>
            <w:tcW w:w="790" w:type="pct"/>
            <w:vAlign w:val="center"/>
          </w:tcPr>
          <w:p w14:paraId="41D8DE9E">
            <w:pPr>
              <w:jc w:val="center"/>
              <w:rPr>
                <w:rFonts w:hint="eastAsia" w:ascii="宋体" w:hAnsi="宋体" w:eastAsia="宋体"/>
                <w:bCs/>
                <w:color w:val="000000"/>
                <w:sz w:val="18"/>
                <w:szCs w:val="18"/>
                <w:lang w:eastAsia="zh-Hans"/>
              </w:rPr>
            </w:pPr>
            <w:r>
              <w:rPr>
                <w:rFonts w:hint="eastAsia" w:ascii="宋体" w:hAnsi="宋体" w:eastAsia="宋体"/>
                <w:bCs/>
                <w:color w:val="000000"/>
                <w:sz w:val="18"/>
                <w:szCs w:val="18"/>
                <w:lang w:eastAsia="zh-Hans"/>
              </w:rPr>
              <w:t>项</w:t>
            </w:r>
          </w:p>
        </w:tc>
      </w:tr>
    </w:tbl>
    <w:p w14:paraId="6999886F">
      <w:pPr>
        <w:pStyle w:val="3"/>
        <w:spacing w:before="0" w:after="0" w:line="360" w:lineRule="auto"/>
        <w:rPr>
          <w:rFonts w:hint="eastAsia"/>
        </w:rPr>
      </w:pPr>
      <w:r>
        <w:rPr>
          <w:rFonts w:hint="eastAsia"/>
        </w:rPr>
        <w:t>服务要求</w:t>
      </w:r>
    </w:p>
    <w:p w14:paraId="1D78FB3A">
      <w:pPr>
        <w:pStyle w:val="4"/>
        <w:spacing w:before="0" w:after="0" w:line="360" w:lineRule="auto"/>
        <w:rPr>
          <w:rFonts w:hint="eastAsia"/>
        </w:rPr>
      </w:pPr>
      <w:r>
        <w:rPr>
          <w:rFonts w:hint="eastAsia"/>
        </w:rPr>
        <w:t>数据安全统一治理服务要求</w:t>
      </w:r>
    </w:p>
    <w:p w14:paraId="5C32CE68">
      <w:pPr>
        <w:tabs>
          <w:tab w:val="left" w:pos="1440"/>
        </w:tabs>
        <w:spacing w:line="360" w:lineRule="auto"/>
        <w:ind w:firstLine="420" w:firstLineChars="200"/>
        <w:rPr>
          <w:rFonts w:hint="eastAsia" w:ascii="宋体" w:hAnsi="宋体" w:eastAsia="宋体"/>
        </w:rPr>
      </w:pPr>
      <w:r>
        <w:rPr>
          <w:rFonts w:hint="eastAsia" w:ascii="宋体" w:hAnsi="宋体" w:eastAsia="宋体"/>
        </w:rPr>
        <w:t>在数据安全统一治理服务中，服务提供商使用数据安全管理平台，对医院的数据进行安全预警</w:t>
      </w:r>
      <w:r>
        <w:rPr>
          <w:rFonts w:hint="eastAsia" w:ascii="宋体" w:hAnsi="宋体" w:eastAsia="宋体"/>
          <w:lang w:eastAsia="zh-CN"/>
        </w:rPr>
        <w:t>分析</w:t>
      </w:r>
      <w:r>
        <w:rPr>
          <w:rFonts w:hint="eastAsia" w:ascii="宋体" w:hAnsi="宋体" w:eastAsia="宋体"/>
        </w:rPr>
        <w:t>，每月对医院现有的数据安全风险及潜在问题进行分析，形成监控分析报告并提交我院，并提供技术支撑</w:t>
      </w:r>
      <w:r>
        <w:rPr>
          <w:rFonts w:hint="eastAsia" w:ascii="宋体" w:hAnsi="宋体" w:eastAsia="宋体"/>
          <w:lang w:eastAsia="zh-CN"/>
        </w:rPr>
        <w:t>，协助我院</w:t>
      </w:r>
      <w:r>
        <w:rPr>
          <w:rFonts w:hint="eastAsia" w:ascii="宋体" w:hAnsi="宋体" w:eastAsia="宋体"/>
        </w:rPr>
        <w:t>开展相应的处置措施。</w:t>
      </w:r>
    </w:p>
    <w:p w14:paraId="79105E99">
      <w:pPr>
        <w:spacing w:line="360" w:lineRule="auto"/>
        <w:ind w:left="900"/>
        <w:rPr>
          <w:rFonts w:hint="eastAsia" w:ascii="宋体" w:hAnsi="宋体" w:eastAsia="宋体"/>
          <w:b/>
          <w:bCs/>
        </w:rPr>
      </w:pPr>
      <w:r>
        <w:rPr>
          <w:rFonts w:hint="eastAsia" w:ascii="宋体" w:hAnsi="宋体" w:eastAsia="宋体"/>
          <w:b/>
          <w:bCs/>
        </w:rPr>
        <w:t>服务范围与频率：</w:t>
      </w:r>
    </w:p>
    <w:p w14:paraId="0ED7381A">
      <w:pPr>
        <w:tabs>
          <w:tab w:val="left" w:pos="1440"/>
        </w:tabs>
        <w:spacing w:line="360" w:lineRule="auto"/>
        <w:ind w:firstLine="420" w:firstLineChars="200"/>
        <w:rPr>
          <w:rFonts w:hint="eastAsia" w:ascii="宋体" w:hAnsi="宋体" w:eastAsia="宋体"/>
        </w:rPr>
      </w:pPr>
      <w:r>
        <w:rPr>
          <w:rFonts w:hint="eastAsia" w:ascii="宋体" w:hAnsi="宋体" w:eastAsia="宋体"/>
        </w:rPr>
        <w:t>服务</w:t>
      </w:r>
      <w:r>
        <w:rPr>
          <w:rFonts w:hint="eastAsia" w:ascii="宋体" w:hAnsi="宋体" w:eastAsia="宋体"/>
          <w:lang w:val="en-US" w:eastAsia="zh-CN"/>
        </w:rPr>
        <w:t>时间</w:t>
      </w:r>
      <w:r>
        <w:rPr>
          <w:rFonts w:hint="eastAsia" w:ascii="宋体" w:hAnsi="宋体" w:eastAsia="宋体"/>
        </w:rPr>
        <w:t>：</w:t>
      </w:r>
      <w:r>
        <w:rPr>
          <w:rFonts w:hint="eastAsia" w:ascii="宋体" w:hAnsi="宋体" w:eastAsia="宋体"/>
          <w:lang w:val="en-US" w:eastAsia="zh-CN"/>
        </w:rPr>
        <w:t>服务期</w:t>
      </w:r>
      <w:r>
        <w:rPr>
          <w:rFonts w:hint="eastAsia" w:ascii="宋体" w:hAnsi="宋体" w:eastAsia="宋体"/>
        </w:rPr>
        <w:t>内完成，服务次数为1次。</w:t>
      </w:r>
    </w:p>
    <w:p w14:paraId="718FF1E4">
      <w:pPr>
        <w:spacing w:line="360" w:lineRule="auto"/>
        <w:ind w:left="900"/>
        <w:rPr>
          <w:rFonts w:hint="eastAsia" w:ascii="宋体" w:hAnsi="宋体" w:eastAsia="宋体"/>
          <w:b/>
          <w:bCs/>
        </w:rPr>
      </w:pPr>
      <w:r>
        <w:rPr>
          <w:rFonts w:hint="eastAsia" w:ascii="宋体" w:hAnsi="宋体" w:eastAsia="宋体"/>
          <w:b/>
          <w:bCs/>
        </w:rPr>
        <w:t>服务方式：</w:t>
      </w:r>
    </w:p>
    <w:p w14:paraId="3A3FBDBA">
      <w:pPr>
        <w:tabs>
          <w:tab w:val="left" w:pos="1440"/>
        </w:tabs>
        <w:spacing w:line="360" w:lineRule="auto"/>
        <w:ind w:firstLine="420" w:firstLineChars="200"/>
        <w:rPr>
          <w:rFonts w:hint="eastAsia" w:ascii="宋体" w:hAnsi="宋体" w:eastAsia="宋体"/>
        </w:rPr>
      </w:pPr>
      <w:r>
        <w:rPr>
          <w:rFonts w:hint="eastAsia" w:ascii="宋体" w:hAnsi="宋体" w:eastAsia="宋体"/>
        </w:rPr>
        <w:t>服务方式包括现场服务及远程技术支持。</w:t>
      </w:r>
    </w:p>
    <w:p w14:paraId="3A5E52D3">
      <w:pPr>
        <w:spacing w:line="360" w:lineRule="auto"/>
        <w:ind w:left="900"/>
        <w:rPr>
          <w:rFonts w:hint="eastAsia" w:ascii="宋体" w:hAnsi="宋体" w:eastAsia="宋体"/>
          <w:b/>
          <w:bCs/>
        </w:rPr>
      </w:pPr>
      <w:r>
        <w:rPr>
          <w:rFonts w:hint="eastAsia" w:ascii="宋体" w:hAnsi="宋体" w:eastAsia="宋体"/>
          <w:b/>
          <w:bCs/>
        </w:rPr>
        <w:t>服务输出：</w:t>
      </w:r>
    </w:p>
    <w:p w14:paraId="4F9C42B7">
      <w:pPr>
        <w:tabs>
          <w:tab w:val="left" w:pos="1440"/>
        </w:tabs>
        <w:spacing w:line="360" w:lineRule="auto"/>
        <w:ind w:firstLine="420" w:firstLineChars="200"/>
        <w:rPr>
          <w:rFonts w:hint="eastAsia" w:ascii="宋体" w:hAnsi="宋体" w:eastAsia="宋体"/>
        </w:rPr>
      </w:pPr>
      <w:r>
        <w:rPr>
          <w:rFonts w:hint="eastAsia" w:ascii="仿宋_GB2312"/>
          <w:color w:val="000000" w:themeColor="text1"/>
          <w14:textFill>
            <w14:solidFill>
              <w14:schemeClr w14:val="tx1"/>
            </w14:solidFill>
          </w14:textFill>
        </w:rPr>
        <w:t>《数据库资产安全态势评估及态势预测报告》</w:t>
      </w:r>
    </w:p>
    <w:p w14:paraId="454AAF0B">
      <w:pPr>
        <w:pStyle w:val="4"/>
        <w:spacing w:before="0" w:after="0" w:line="360" w:lineRule="auto"/>
        <w:rPr>
          <w:rFonts w:hint="eastAsia"/>
        </w:rPr>
      </w:pPr>
      <w:r>
        <w:rPr>
          <w:rFonts w:hint="eastAsia"/>
        </w:rPr>
        <w:t>数据安全风险评估服务要求</w:t>
      </w:r>
    </w:p>
    <w:p w14:paraId="22EBE736">
      <w:pPr>
        <w:tabs>
          <w:tab w:val="left" w:pos="1440"/>
        </w:tabs>
        <w:spacing w:line="360" w:lineRule="auto"/>
        <w:ind w:firstLine="420" w:firstLineChars="200"/>
        <w:rPr>
          <w:rFonts w:hint="eastAsia" w:ascii="宋体" w:hAnsi="宋体" w:eastAsia="宋体"/>
        </w:rPr>
      </w:pPr>
      <w:r>
        <w:rPr>
          <w:rFonts w:hint="eastAsia" w:ascii="宋体" w:hAnsi="宋体" w:eastAsia="宋体"/>
        </w:rPr>
        <w:t>基于国家标准为评估依据，从组织、制度、技术和人员维度，全面评估组织、系统、平台的数据安全防护能力，明晰在数据安全管理体系搭建、技术防护手段部署、人员安全意识与操作规范、制度执行落地等方面的能力差距，严格遵循国家</w:t>
      </w:r>
      <w:r>
        <w:rPr>
          <w:rFonts w:hint="eastAsia" w:ascii="宋体" w:hAnsi="宋体" w:eastAsia="宋体"/>
          <w:lang w:eastAsia="zh-CN"/>
        </w:rPr>
        <w:t>标准</w:t>
      </w:r>
      <w:r>
        <w:rPr>
          <w:rFonts w:hint="eastAsia" w:ascii="宋体" w:hAnsi="宋体" w:eastAsia="宋体"/>
        </w:rPr>
        <w:t>规范的评估流程开展全面的数据安全风险定性和定量评估工作，输出覆盖组织整体数据安全状况、关键风险点、风险影响范围的分析结果，并针对不同维度的风险短板给出对应的处置建议</w:t>
      </w:r>
      <w:r>
        <w:rPr>
          <w:rFonts w:ascii="宋体" w:hAnsi="宋体" w:eastAsia="宋体" w:cs="仿宋_GB2312"/>
          <w:szCs w:val="21"/>
        </w:rPr>
        <w:t>。</w:t>
      </w:r>
    </w:p>
    <w:p w14:paraId="110EDA13">
      <w:pPr>
        <w:spacing w:line="360" w:lineRule="auto"/>
        <w:ind w:left="900"/>
        <w:rPr>
          <w:rFonts w:hint="eastAsia" w:ascii="宋体" w:hAnsi="宋体" w:eastAsia="宋体"/>
          <w:b/>
          <w:bCs/>
        </w:rPr>
      </w:pPr>
      <w:r>
        <w:rPr>
          <w:rFonts w:hint="eastAsia" w:ascii="宋体" w:hAnsi="宋体" w:eastAsia="宋体"/>
          <w:b/>
          <w:bCs/>
        </w:rPr>
        <w:t>服务范围与频率：</w:t>
      </w:r>
    </w:p>
    <w:p w14:paraId="01D0CB6B">
      <w:pPr>
        <w:tabs>
          <w:tab w:val="left" w:pos="1440"/>
        </w:tabs>
        <w:spacing w:line="360" w:lineRule="auto"/>
        <w:ind w:firstLine="420" w:firstLineChars="200"/>
        <w:rPr>
          <w:rFonts w:hint="eastAsia" w:ascii="宋体" w:hAnsi="宋体" w:eastAsia="宋体"/>
        </w:rPr>
      </w:pPr>
      <w:r>
        <w:rPr>
          <w:rFonts w:hint="eastAsia" w:ascii="宋体" w:hAnsi="宋体" w:eastAsia="宋体"/>
        </w:rPr>
        <w:t>服务范围：</w:t>
      </w:r>
      <w:r>
        <w:rPr>
          <w:rFonts w:hint="eastAsia" w:ascii="宋体" w:hAnsi="宋体" w:eastAsia="宋体"/>
          <w:lang w:val="en-US" w:eastAsia="zh-CN"/>
        </w:rPr>
        <w:t>针对HIS系统开展数据安全风险评估</w:t>
      </w:r>
      <w:r>
        <w:rPr>
          <w:rFonts w:hint="eastAsia" w:ascii="宋体" w:hAnsi="宋体" w:eastAsia="宋体"/>
        </w:rPr>
        <w:t>。</w:t>
      </w:r>
    </w:p>
    <w:p w14:paraId="42188A68">
      <w:pPr>
        <w:tabs>
          <w:tab w:val="left" w:pos="1440"/>
        </w:tabs>
        <w:spacing w:line="360" w:lineRule="auto"/>
        <w:ind w:firstLine="420" w:firstLineChars="200"/>
        <w:rPr>
          <w:rFonts w:hint="eastAsia" w:ascii="宋体" w:hAnsi="宋体" w:eastAsia="宋体"/>
        </w:rPr>
      </w:pPr>
      <w:r>
        <w:rPr>
          <w:rFonts w:hint="eastAsia" w:ascii="宋体" w:hAnsi="宋体" w:eastAsia="宋体"/>
        </w:rPr>
        <w:t>12个月内完成，服务次数为1次。</w:t>
      </w:r>
    </w:p>
    <w:p w14:paraId="42829D03">
      <w:pPr>
        <w:spacing w:line="360" w:lineRule="auto"/>
        <w:ind w:left="900"/>
        <w:rPr>
          <w:rFonts w:hint="eastAsia" w:ascii="宋体" w:hAnsi="宋体" w:eastAsia="宋体"/>
          <w:b/>
          <w:bCs/>
        </w:rPr>
      </w:pPr>
      <w:r>
        <w:rPr>
          <w:rFonts w:hint="eastAsia" w:ascii="宋体" w:hAnsi="宋体" w:eastAsia="宋体"/>
          <w:b/>
          <w:bCs/>
        </w:rPr>
        <w:t>服务方式：</w:t>
      </w:r>
    </w:p>
    <w:p w14:paraId="27CE55C8">
      <w:pPr>
        <w:tabs>
          <w:tab w:val="left" w:pos="1440"/>
        </w:tabs>
        <w:spacing w:line="360" w:lineRule="auto"/>
        <w:ind w:firstLine="420" w:firstLineChars="200"/>
        <w:rPr>
          <w:rFonts w:hint="eastAsia" w:ascii="宋体" w:hAnsi="宋体" w:eastAsia="宋体"/>
        </w:rPr>
      </w:pPr>
      <w:r>
        <w:rPr>
          <w:rFonts w:hint="eastAsia" w:ascii="宋体" w:hAnsi="宋体" w:eastAsia="宋体"/>
        </w:rPr>
        <w:t>服务方式包括现场服务及远程技术支持。</w:t>
      </w:r>
    </w:p>
    <w:p w14:paraId="31BD9D65">
      <w:pPr>
        <w:spacing w:line="360" w:lineRule="auto"/>
        <w:ind w:left="900"/>
        <w:rPr>
          <w:rFonts w:hint="eastAsia" w:ascii="宋体" w:hAnsi="宋体" w:eastAsia="宋体"/>
          <w:b/>
          <w:bCs/>
        </w:rPr>
      </w:pPr>
      <w:r>
        <w:rPr>
          <w:rFonts w:hint="eastAsia" w:ascii="宋体" w:hAnsi="宋体" w:eastAsia="宋体"/>
          <w:b/>
          <w:bCs/>
        </w:rPr>
        <w:t>服务输出：</w:t>
      </w:r>
    </w:p>
    <w:p w14:paraId="693E54A6">
      <w:pPr>
        <w:tabs>
          <w:tab w:val="left" w:pos="1440"/>
        </w:tabs>
        <w:spacing w:line="360" w:lineRule="auto"/>
        <w:ind w:firstLine="420" w:firstLineChars="200"/>
        <w:rPr>
          <w:rFonts w:hint="eastAsia" w:ascii="宋体" w:hAnsi="宋体" w:eastAsia="宋体"/>
        </w:rPr>
      </w:pPr>
      <w:r>
        <w:rPr>
          <w:rFonts w:hint="eastAsia" w:ascii="宋体" w:hAnsi="宋体" w:eastAsia="宋体"/>
        </w:rPr>
        <w:t>《数据安全风险评估报告》</w:t>
      </w:r>
    </w:p>
    <w:p w14:paraId="7EB69D9B">
      <w:pPr>
        <w:tabs>
          <w:tab w:val="left" w:pos="1440"/>
        </w:tabs>
        <w:spacing w:line="360" w:lineRule="auto"/>
        <w:ind w:firstLine="420" w:firstLineChars="200"/>
        <w:rPr>
          <w:rFonts w:hint="eastAsia" w:ascii="宋体" w:hAnsi="宋体" w:eastAsia="宋体"/>
        </w:rPr>
      </w:pPr>
      <w:r>
        <w:rPr>
          <w:rFonts w:hint="eastAsia" w:ascii="宋体" w:hAnsi="宋体" w:eastAsia="宋体"/>
        </w:rPr>
        <w:t>《数据安全风险评估差距分析单》</w:t>
      </w:r>
    </w:p>
    <w:p w14:paraId="140B287B">
      <w:pPr>
        <w:tabs>
          <w:tab w:val="left" w:pos="1440"/>
        </w:tabs>
        <w:spacing w:line="360" w:lineRule="auto"/>
        <w:ind w:firstLine="420" w:firstLineChars="200"/>
        <w:rPr>
          <w:rFonts w:hint="eastAsia" w:ascii="宋体" w:hAnsi="宋体" w:eastAsia="宋体"/>
        </w:rPr>
      </w:pPr>
      <w:r>
        <w:rPr>
          <w:rFonts w:hint="eastAsia" w:ascii="宋体" w:hAnsi="宋体" w:eastAsia="宋体"/>
        </w:rPr>
        <w:t>《数据安全风险评估调研材料》</w:t>
      </w:r>
    </w:p>
    <w:p w14:paraId="44E838D8">
      <w:pPr>
        <w:tabs>
          <w:tab w:val="left" w:pos="1440"/>
        </w:tabs>
        <w:spacing w:line="360" w:lineRule="auto"/>
        <w:ind w:firstLine="420" w:firstLineChars="200"/>
        <w:rPr>
          <w:rFonts w:hint="eastAsia" w:ascii="宋体" w:hAnsi="宋体" w:eastAsia="宋体"/>
        </w:rPr>
      </w:pPr>
      <w:r>
        <w:rPr>
          <w:rFonts w:hint="eastAsia" w:ascii="宋体" w:hAnsi="宋体" w:eastAsia="宋体"/>
        </w:rPr>
        <w:t>《数据安全风险评估风险清单</w:t>
      </w:r>
    </w:p>
    <w:p w14:paraId="22C748E1">
      <w:pPr>
        <w:pStyle w:val="4"/>
        <w:spacing w:before="0" w:after="0" w:line="360" w:lineRule="auto"/>
        <w:rPr>
          <w:rFonts w:hint="eastAsia"/>
        </w:rPr>
      </w:pPr>
      <w:r>
        <w:rPr>
          <w:rFonts w:hint="eastAsia"/>
        </w:rPr>
        <w:t>数据安全资产标识服务要求</w:t>
      </w:r>
    </w:p>
    <w:p w14:paraId="49273F6B">
      <w:pPr>
        <w:tabs>
          <w:tab w:val="left" w:pos="1440"/>
        </w:tabs>
        <w:spacing w:line="360" w:lineRule="auto"/>
        <w:ind w:firstLine="420" w:firstLineChars="200"/>
        <w:rPr>
          <w:rFonts w:hint="eastAsia" w:ascii="宋体" w:hAnsi="宋体" w:eastAsia="宋体"/>
        </w:rPr>
      </w:pPr>
      <w:r>
        <w:rPr>
          <w:rFonts w:hint="eastAsia" w:ascii="宋体" w:hAnsi="宋体" w:eastAsia="宋体"/>
        </w:rPr>
        <w:t>本次数据安全资产标识服务旨在扩展治理范围，深化治理深度。在核心信息系统分类分级的基础上，覆盖新增未知资产，以及其余重要及边缘信息系统（如科研管理系统、设备管理系统、后勤管理系统、教学平台、各类边缘业务及管理数据库等）中存储和流转的数据资产，开展系统性的安全标识、资产打标服务。</w:t>
      </w:r>
    </w:p>
    <w:p w14:paraId="14AF5756">
      <w:pPr>
        <w:spacing w:line="360" w:lineRule="auto"/>
        <w:ind w:left="900"/>
        <w:rPr>
          <w:rFonts w:hint="eastAsia" w:ascii="宋体" w:hAnsi="宋体" w:eastAsia="宋体"/>
          <w:b/>
          <w:bCs/>
        </w:rPr>
      </w:pPr>
      <w:r>
        <w:rPr>
          <w:rFonts w:hint="eastAsia" w:ascii="宋体" w:hAnsi="宋体" w:eastAsia="宋体"/>
          <w:b/>
          <w:bCs/>
        </w:rPr>
        <w:t>服务范围与频率：</w:t>
      </w:r>
    </w:p>
    <w:p w14:paraId="25B62D4D">
      <w:pPr>
        <w:tabs>
          <w:tab w:val="left" w:pos="1440"/>
        </w:tabs>
        <w:spacing w:line="360" w:lineRule="auto"/>
        <w:ind w:firstLine="420" w:firstLineChars="200"/>
        <w:rPr>
          <w:rFonts w:hint="eastAsia" w:ascii="宋体" w:hAnsi="宋体" w:eastAsia="宋体"/>
        </w:rPr>
      </w:pPr>
      <w:r>
        <w:rPr>
          <w:rFonts w:hint="eastAsia" w:ascii="宋体" w:hAnsi="宋体" w:eastAsia="宋体"/>
        </w:rPr>
        <w:t>服务范围：</w:t>
      </w:r>
      <w:r>
        <w:rPr>
          <w:rFonts w:hint="eastAsia" w:ascii="宋体" w:hAnsi="宋体" w:eastAsia="宋体"/>
          <w:lang w:val="en-US" w:eastAsia="zh-CN"/>
        </w:rPr>
        <w:t>重要及边缘信息系统</w:t>
      </w:r>
      <w:r>
        <w:rPr>
          <w:rFonts w:hint="eastAsia" w:ascii="宋体" w:hAnsi="宋体" w:eastAsia="宋体"/>
        </w:rPr>
        <w:t>。</w:t>
      </w:r>
    </w:p>
    <w:p w14:paraId="58F49925">
      <w:pPr>
        <w:tabs>
          <w:tab w:val="left" w:pos="1440"/>
        </w:tabs>
        <w:spacing w:line="360" w:lineRule="auto"/>
        <w:ind w:firstLine="420" w:firstLineChars="200"/>
        <w:rPr>
          <w:rFonts w:hint="eastAsia" w:ascii="宋体" w:hAnsi="宋体" w:eastAsia="宋体"/>
        </w:rPr>
      </w:pPr>
      <w:r>
        <w:rPr>
          <w:rFonts w:hint="eastAsia" w:ascii="宋体" w:hAnsi="宋体" w:eastAsia="宋体"/>
        </w:rPr>
        <w:t>12个月内完成，服务次数为1次。</w:t>
      </w:r>
    </w:p>
    <w:p w14:paraId="3AA406CB">
      <w:pPr>
        <w:spacing w:line="360" w:lineRule="auto"/>
        <w:ind w:left="900"/>
        <w:rPr>
          <w:rFonts w:hint="eastAsia" w:ascii="宋体" w:hAnsi="宋体" w:eastAsia="宋体"/>
          <w:b/>
          <w:bCs/>
        </w:rPr>
      </w:pPr>
      <w:r>
        <w:rPr>
          <w:rFonts w:hint="eastAsia" w:ascii="宋体" w:hAnsi="宋体" w:eastAsia="宋体"/>
          <w:b/>
          <w:bCs/>
        </w:rPr>
        <w:t>服务方式：</w:t>
      </w:r>
    </w:p>
    <w:p w14:paraId="41A5783B">
      <w:pPr>
        <w:tabs>
          <w:tab w:val="left" w:pos="1440"/>
        </w:tabs>
        <w:spacing w:line="360" w:lineRule="auto"/>
        <w:ind w:firstLine="420" w:firstLineChars="200"/>
        <w:rPr>
          <w:rFonts w:hint="eastAsia" w:ascii="宋体" w:hAnsi="宋体" w:eastAsia="宋体"/>
        </w:rPr>
      </w:pPr>
      <w:r>
        <w:rPr>
          <w:rFonts w:hint="eastAsia" w:ascii="宋体" w:hAnsi="宋体" w:eastAsia="宋体"/>
        </w:rPr>
        <w:t>服务方式包括现场服务及远程技术支持。</w:t>
      </w:r>
    </w:p>
    <w:p w14:paraId="04024B26">
      <w:pPr>
        <w:spacing w:line="360" w:lineRule="auto"/>
        <w:ind w:left="900"/>
        <w:rPr>
          <w:rFonts w:hint="eastAsia" w:ascii="宋体" w:hAnsi="宋体" w:eastAsia="宋体"/>
          <w:b/>
          <w:bCs/>
        </w:rPr>
      </w:pPr>
      <w:r>
        <w:rPr>
          <w:rFonts w:hint="eastAsia" w:ascii="宋体" w:hAnsi="宋体" w:eastAsia="宋体"/>
          <w:b/>
          <w:bCs/>
        </w:rPr>
        <w:t>服务输出：</w:t>
      </w:r>
    </w:p>
    <w:p w14:paraId="07C06491">
      <w:pPr>
        <w:tabs>
          <w:tab w:val="left" w:pos="1440"/>
        </w:tabs>
        <w:spacing w:line="360" w:lineRule="auto"/>
        <w:ind w:firstLine="420" w:firstLineChars="200"/>
        <w:rPr>
          <w:rFonts w:hint="eastAsia"/>
        </w:rPr>
      </w:pPr>
      <w:r>
        <w:rPr>
          <w:rFonts w:hint="eastAsia"/>
          <w:lang w:eastAsia="zh-CN"/>
        </w:rPr>
        <w:t>《</w:t>
      </w:r>
      <w:r>
        <w:rPr>
          <w:rFonts w:hint="eastAsia"/>
        </w:rPr>
        <w:t xml:space="preserve">数据安全资产标识清单》 </w:t>
      </w:r>
    </w:p>
    <w:p w14:paraId="32C6EE43">
      <w:pPr>
        <w:tabs>
          <w:tab w:val="left" w:pos="1440"/>
        </w:tabs>
        <w:spacing w:line="360" w:lineRule="auto"/>
        <w:ind w:firstLine="420" w:firstLineChars="200"/>
        <w:rPr>
          <w:rFonts w:hint="eastAsia" w:ascii="宋体" w:hAnsi="宋体" w:eastAsiaTheme="minorEastAsia"/>
          <w:b/>
          <w:bCs/>
          <w:lang w:eastAsia="zh-CN"/>
        </w:rPr>
      </w:pPr>
      <w:r>
        <w:rPr>
          <w:rFonts w:hint="eastAsia"/>
        </w:rPr>
        <w:t>《数据库权限清单</w:t>
      </w:r>
      <w:r>
        <w:rPr>
          <w:rFonts w:hint="eastAsia"/>
          <w:lang w:eastAsia="zh-CN"/>
        </w:rPr>
        <w:t>》</w:t>
      </w:r>
    </w:p>
    <w:p w14:paraId="5EFF47DE">
      <w:pPr>
        <w:pStyle w:val="4"/>
        <w:spacing w:before="0" w:after="0" w:line="360" w:lineRule="auto"/>
        <w:rPr>
          <w:rFonts w:hint="eastAsia"/>
        </w:rPr>
      </w:pPr>
      <w:r>
        <w:rPr>
          <w:rFonts w:hint="eastAsia"/>
        </w:rPr>
        <w:t>接口梳理及风险监测服务要求</w:t>
      </w:r>
    </w:p>
    <w:p w14:paraId="432C541D">
      <w:pPr>
        <w:tabs>
          <w:tab w:val="left" w:pos="1440"/>
        </w:tabs>
        <w:spacing w:line="360" w:lineRule="auto"/>
        <w:ind w:firstLine="420" w:firstLineChars="200"/>
        <w:rPr>
          <w:rFonts w:hint="eastAsia" w:ascii="宋体" w:hAnsi="宋体" w:eastAsia="宋体"/>
        </w:rPr>
      </w:pPr>
      <w:r>
        <w:rPr>
          <w:rFonts w:hint="eastAsia" w:ascii="宋体" w:hAnsi="宋体" w:eastAsia="宋体"/>
        </w:rPr>
        <w:t>接口梳理及风险监测服务，是为了在当前医院对外服务日益增长的情况下，梳理未知的接口资产以及接口风险，并提供管控措施的安全服务。通过人机结合的方式，对互联网应用、接口、数据、文件等资产进行拉网式盘点，对应用系统进行操作系统、应用系统、接口的三层风险探测，将已识别的风险采用设备管控以及漏洞处理等方式，实现风险闭环。</w:t>
      </w:r>
    </w:p>
    <w:p w14:paraId="6FA4892B">
      <w:pPr>
        <w:spacing w:line="360" w:lineRule="auto"/>
        <w:ind w:left="900"/>
        <w:rPr>
          <w:rFonts w:hint="eastAsia" w:ascii="宋体" w:hAnsi="宋体" w:eastAsia="宋体"/>
          <w:b/>
          <w:bCs/>
        </w:rPr>
      </w:pPr>
      <w:r>
        <w:rPr>
          <w:rFonts w:hint="eastAsia" w:ascii="宋体" w:hAnsi="宋体" w:eastAsia="宋体"/>
          <w:b/>
          <w:bCs/>
        </w:rPr>
        <w:t>服务范围与频率：</w:t>
      </w:r>
    </w:p>
    <w:p w14:paraId="162F193B">
      <w:pPr>
        <w:tabs>
          <w:tab w:val="left" w:pos="1440"/>
        </w:tabs>
        <w:spacing w:line="360" w:lineRule="auto"/>
        <w:ind w:firstLine="420" w:firstLineChars="200"/>
        <w:rPr>
          <w:rFonts w:hint="eastAsia" w:ascii="宋体" w:hAnsi="宋体" w:eastAsia="宋体"/>
        </w:rPr>
      </w:pPr>
      <w:r>
        <w:rPr>
          <w:rFonts w:hint="eastAsia" w:ascii="宋体" w:hAnsi="宋体" w:eastAsia="宋体"/>
        </w:rPr>
        <w:t>服务范围：全院。</w:t>
      </w:r>
    </w:p>
    <w:p w14:paraId="559AAF28">
      <w:pPr>
        <w:tabs>
          <w:tab w:val="left" w:pos="1440"/>
        </w:tabs>
        <w:spacing w:line="360" w:lineRule="auto"/>
        <w:ind w:firstLine="420" w:firstLineChars="200"/>
        <w:rPr>
          <w:rFonts w:hint="eastAsia" w:ascii="宋体" w:hAnsi="宋体" w:eastAsia="宋体"/>
        </w:rPr>
      </w:pPr>
      <w:r>
        <w:rPr>
          <w:rFonts w:hint="eastAsia" w:ascii="宋体" w:hAnsi="宋体" w:eastAsia="宋体"/>
        </w:rPr>
        <w:t>服务频率：全年</w:t>
      </w:r>
      <w:r>
        <w:rPr>
          <w:rFonts w:hint="eastAsia" w:ascii="宋体" w:hAnsi="宋体" w:eastAsia="宋体"/>
          <w:lang w:eastAsia="zh-CN"/>
        </w:rPr>
        <w:t>，</w:t>
      </w:r>
      <w:r>
        <w:rPr>
          <w:rFonts w:hint="eastAsia" w:ascii="宋体" w:hAnsi="宋体" w:eastAsia="宋体"/>
        </w:rPr>
        <w:t>配套7*24人工协助分析服务</w:t>
      </w:r>
    </w:p>
    <w:p w14:paraId="7C27FCBA">
      <w:pPr>
        <w:spacing w:line="360" w:lineRule="auto"/>
        <w:ind w:left="900"/>
        <w:rPr>
          <w:rFonts w:hint="eastAsia" w:ascii="宋体" w:hAnsi="宋体" w:eastAsia="宋体"/>
          <w:b/>
          <w:bCs/>
        </w:rPr>
      </w:pPr>
      <w:r>
        <w:rPr>
          <w:rFonts w:hint="eastAsia" w:ascii="宋体" w:hAnsi="宋体" w:eastAsia="宋体"/>
          <w:b/>
          <w:bCs/>
        </w:rPr>
        <w:t>服务方式：</w:t>
      </w:r>
    </w:p>
    <w:p w14:paraId="251765A1">
      <w:pPr>
        <w:tabs>
          <w:tab w:val="left" w:pos="1440"/>
        </w:tabs>
        <w:spacing w:line="360" w:lineRule="auto"/>
        <w:ind w:firstLine="420" w:firstLineChars="200"/>
        <w:rPr>
          <w:rFonts w:hint="eastAsia" w:ascii="宋体" w:hAnsi="宋体" w:eastAsia="宋体"/>
        </w:rPr>
      </w:pPr>
      <w:r>
        <w:rPr>
          <w:rFonts w:hint="eastAsia" w:ascii="宋体" w:hAnsi="宋体" w:eastAsia="宋体"/>
        </w:rPr>
        <w:t>服务方式包括现场服务及远程技术支持。</w:t>
      </w:r>
    </w:p>
    <w:p w14:paraId="0DA2A749">
      <w:pPr>
        <w:spacing w:line="360" w:lineRule="auto"/>
        <w:ind w:left="900"/>
        <w:rPr>
          <w:rFonts w:hint="eastAsia" w:ascii="宋体" w:hAnsi="宋体" w:eastAsia="宋体"/>
          <w:b/>
          <w:bCs/>
        </w:rPr>
      </w:pPr>
      <w:r>
        <w:rPr>
          <w:rFonts w:hint="eastAsia" w:ascii="宋体" w:hAnsi="宋体" w:eastAsia="宋体"/>
          <w:b/>
          <w:bCs/>
        </w:rPr>
        <w:t>服务输出：</w:t>
      </w:r>
    </w:p>
    <w:p w14:paraId="2B83CC4C">
      <w:pPr>
        <w:tabs>
          <w:tab w:val="left" w:pos="1440"/>
        </w:tabs>
        <w:spacing w:line="360" w:lineRule="auto"/>
        <w:ind w:firstLine="420" w:firstLineChars="200"/>
        <w:rPr>
          <w:rFonts w:hint="eastAsia" w:ascii="宋体" w:hAnsi="宋体" w:eastAsia="宋体"/>
        </w:rPr>
      </w:pPr>
      <w:r>
        <w:rPr>
          <w:rFonts w:hint="eastAsia" w:ascii="宋体" w:hAnsi="宋体" w:eastAsia="宋体"/>
        </w:rPr>
        <w:t>《接口资产清单》</w:t>
      </w:r>
    </w:p>
    <w:p w14:paraId="2C58DC60">
      <w:pPr>
        <w:tabs>
          <w:tab w:val="left" w:pos="1440"/>
        </w:tabs>
        <w:spacing w:line="360" w:lineRule="auto"/>
        <w:ind w:firstLine="420" w:firstLineChars="200"/>
        <w:rPr>
          <w:rFonts w:hint="eastAsia" w:ascii="宋体" w:hAnsi="宋体" w:eastAsia="宋体"/>
        </w:rPr>
      </w:pPr>
      <w:r>
        <w:rPr>
          <w:rFonts w:hint="eastAsia" w:ascii="宋体" w:hAnsi="宋体" w:eastAsia="宋体"/>
        </w:rPr>
        <w:t>《接口风险清单》</w:t>
      </w:r>
    </w:p>
    <w:p w14:paraId="31ADAF03">
      <w:pPr>
        <w:tabs>
          <w:tab w:val="left" w:pos="1440"/>
        </w:tabs>
        <w:spacing w:line="360" w:lineRule="auto"/>
        <w:ind w:firstLine="420" w:firstLineChars="200"/>
        <w:rPr>
          <w:rFonts w:hint="eastAsia" w:ascii="宋体" w:hAnsi="宋体" w:eastAsia="宋体"/>
        </w:rPr>
      </w:pPr>
      <w:r>
        <w:rPr>
          <w:rFonts w:hint="eastAsia" w:ascii="宋体" w:hAnsi="宋体" w:eastAsia="宋体"/>
        </w:rPr>
        <w:t>《接口管控清单》</w:t>
      </w:r>
    </w:p>
    <w:p w14:paraId="4761025D">
      <w:pPr>
        <w:tabs>
          <w:tab w:val="left" w:pos="1440"/>
        </w:tabs>
        <w:spacing w:line="360" w:lineRule="auto"/>
        <w:ind w:firstLine="420" w:firstLineChars="200"/>
        <w:rPr>
          <w:rFonts w:hint="eastAsia" w:ascii="宋体" w:hAnsi="宋体" w:eastAsia="宋体"/>
        </w:rPr>
      </w:pPr>
      <w:r>
        <w:rPr>
          <w:rFonts w:hint="eastAsia" w:ascii="宋体" w:hAnsi="宋体" w:eastAsia="宋体"/>
        </w:rPr>
        <w:t>《接口管控策略》</w:t>
      </w:r>
    </w:p>
    <w:p w14:paraId="4E7C73EF">
      <w:pPr>
        <w:pStyle w:val="4"/>
        <w:spacing w:before="0" w:after="0" w:line="360" w:lineRule="auto"/>
        <w:rPr>
          <w:rFonts w:hint="eastAsia"/>
        </w:rPr>
      </w:pPr>
      <w:r>
        <w:rPr>
          <w:rFonts w:hint="eastAsia"/>
        </w:rPr>
        <w:t>个人信息安全保护服务要求</w:t>
      </w:r>
    </w:p>
    <w:p w14:paraId="4CD18EA9">
      <w:pPr>
        <w:tabs>
          <w:tab w:val="left" w:pos="1440"/>
        </w:tabs>
        <w:spacing w:line="360" w:lineRule="auto"/>
        <w:ind w:firstLine="420" w:firstLineChars="200"/>
      </w:pPr>
      <w:r>
        <w:rPr>
          <w:rFonts w:hint="eastAsia"/>
        </w:rPr>
        <w:t>依据《</w:t>
      </w:r>
      <w:r>
        <w:rPr>
          <w:rFonts w:hint="eastAsia"/>
          <w:lang w:eastAsia="zh-CN"/>
        </w:rPr>
        <w:t>中华人民共和国个人信息保护法</w:t>
      </w:r>
      <w:r>
        <w:rPr>
          <w:rFonts w:hint="eastAsia"/>
        </w:rPr>
        <w:t>》《</w:t>
      </w:r>
      <w:r>
        <w:rPr>
          <w:rFonts w:hint="eastAsia"/>
          <w:lang w:eastAsia="zh-CN"/>
        </w:rPr>
        <w:t>中华人民共和国数据安全法</w:t>
      </w:r>
      <w:r>
        <w:rPr>
          <w:rFonts w:hint="eastAsia"/>
        </w:rPr>
        <w:t>》《医疗卫生机构网络安全管理办法》等法律法规、国家标准，面向医院患者健康信息、诊疗数据、生物识别信息、缴费与就医记录等高敏感数据全生命周期，开展合规性核验、风险识别、安全加固与整改落地，形成可用于等级保护、合规审计、智慧医院评审、行风检查的法定评估报告，全面降低医院数据合规与隐私</w:t>
      </w:r>
      <w:r>
        <w:rPr>
          <w:rFonts w:hint="eastAsia"/>
          <w:lang w:eastAsia="zh-CN"/>
        </w:rPr>
        <w:t>泄漏</w:t>
      </w:r>
      <w:r>
        <w:rPr>
          <w:rFonts w:hint="eastAsia"/>
        </w:rPr>
        <w:t>风险。</w:t>
      </w:r>
    </w:p>
    <w:p w14:paraId="1DE3C605">
      <w:pPr>
        <w:tabs>
          <w:tab w:val="left" w:pos="1440"/>
        </w:tabs>
        <w:spacing w:line="360" w:lineRule="auto"/>
        <w:ind w:firstLine="420" w:firstLineChars="200"/>
        <w:rPr>
          <w:rFonts w:hint="eastAsia" w:ascii="宋体" w:hAnsi="宋体" w:eastAsia="宋体"/>
        </w:rPr>
      </w:pPr>
      <w:r>
        <w:rPr>
          <w:rFonts w:hint="eastAsia" w:ascii="宋体" w:hAnsi="宋体" w:eastAsia="宋体"/>
        </w:rPr>
        <w:t>服务范围：全院。</w:t>
      </w:r>
    </w:p>
    <w:p w14:paraId="0E2AAEC2">
      <w:pPr>
        <w:tabs>
          <w:tab w:val="left" w:pos="1440"/>
        </w:tabs>
        <w:spacing w:line="360" w:lineRule="auto"/>
        <w:ind w:firstLine="420" w:firstLineChars="200"/>
        <w:rPr>
          <w:rFonts w:hint="eastAsia" w:ascii="宋体" w:hAnsi="宋体" w:eastAsia="宋体"/>
        </w:rPr>
      </w:pPr>
      <w:r>
        <w:rPr>
          <w:rFonts w:hint="eastAsia" w:ascii="宋体" w:hAnsi="宋体" w:eastAsia="宋体"/>
          <w:lang w:val="en-US" w:eastAsia="zh-CN"/>
        </w:rPr>
        <w:t>服务周期：</w:t>
      </w:r>
      <w:r>
        <w:rPr>
          <w:rFonts w:hint="eastAsia" w:ascii="宋体" w:hAnsi="宋体" w:eastAsia="宋体"/>
        </w:rPr>
        <w:t>12个月内完成</w:t>
      </w:r>
    </w:p>
    <w:p w14:paraId="463067F6">
      <w:pPr>
        <w:tabs>
          <w:tab w:val="left" w:pos="1440"/>
        </w:tabs>
        <w:spacing w:line="360" w:lineRule="auto"/>
        <w:ind w:firstLine="420" w:firstLineChars="200"/>
        <w:rPr>
          <w:rFonts w:hint="eastAsia" w:ascii="宋体" w:hAnsi="宋体" w:eastAsia="宋体"/>
        </w:rPr>
      </w:pPr>
      <w:r>
        <w:rPr>
          <w:rFonts w:hint="eastAsia" w:ascii="宋体" w:hAnsi="宋体" w:eastAsia="宋体"/>
        </w:rPr>
        <w:t>服务频率：1次。</w:t>
      </w:r>
    </w:p>
    <w:p w14:paraId="4A112068">
      <w:pPr>
        <w:spacing w:line="360" w:lineRule="auto"/>
        <w:ind w:left="900"/>
        <w:rPr>
          <w:rFonts w:hint="eastAsia" w:ascii="宋体" w:hAnsi="宋体" w:eastAsia="宋体"/>
          <w:b/>
          <w:bCs/>
        </w:rPr>
      </w:pPr>
      <w:r>
        <w:rPr>
          <w:rFonts w:hint="eastAsia" w:ascii="宋体" w:hAnsi="宋体" w:eastAsia="宋体"/>
          <w:b/>
          <w:bCs/>
        </w:rPr>
        <w:t>服务方式：</w:t>
      </w:r>
    </w:p>
    <w:p w14:paraId="0E152008">
      <w:pPr>
        <w:tabs>
          <w:tab w:val="left" w:pos="1440"/>
        </w:tabs>
        <w:spacing w:line="360" w:lineRule="auto"/>
        <w:ind w:firstLine="420" w:firstLineChars="200"/>
        <w:rPr>
          <w:rFonts w:hint="eastAsia" w:ascii="宋体" w:hAnsi="宋体" w:eastAsia="宋体"/>
        </w:rPr>
      </w:pPr>
      <w:r>
        <w:rPr>
          <w:rFonts w:hint="eastAsia" w:ascii="宋体" w:hAnsi="宋体" w:eastAsia="宋体"/>
        </w:rPr>
        <w:t>服务方式：现场</w:t>
      </w:r>
      <w:r>
        <w:rPr>
          <w:rFonts w:hint="eastAsia" w:ascii="宋体" w:hAnsi="宋体" w:eastAsia="宋体"/>
          <w:lang w:val="en-US" w:eastAsia="zh-CN"/>
        </w:rPr>
        <w:t>及远程</w:t>
      </w:r>
      <w:r>
        <w:rPr>
          <w:rFonts w:hint="eastAsia" w:ascii="宋体" w:hAnsi="宋体" w:eastAsia="宋体"/>
        </w:rPr>
        <w:t>服务。</w:t>
      </w:r>
    </w:p>
    <w:p w14:paraId="5B7A9C1C">
      <w:pPr>
        <w:spacing w:line="360" w:lineRule="auto"/>
        <w:ind w:left="900"/>
        <w:rPr>
          <w:rFonts w:hint="eastAsia" w:ascii="宋体" w:hAnsi="宋体" w:eastAsia="宋体"/>
          <w:b/>
          <w:bCs/>
        </w:rPr>
      </w:pPr>
      <w:r>
        <w:rPr>
          <w:rFonts w:hint="eastAsia" w:ascii="宋体" w:hAnsi="宋体" w:eastAsia="宋体"/>
          <w:b/>
          <w:bCs/>
        </w:rPr>
        <w:t>服务输出：</w:t>
      </w:r>
    </w:p>
    <w:p w14:paraId="09B09947">
      <w:pPr>
        <w:tabs>
          <w:tab w:val="left" w:pos="1440"/>
        </w:tabs>
        <w:spacing w:line="360" w:lineRule="auto"/>
        <w:ind w:firstLine="420" w:firstLineChars="200"/>
        <w:rPr>
          <w:rFonts w:hint="eastAsia" w:ascii="宋体" w:hAnsi="宋体" w:eastAsia="宋体"/>
        </w:rPr>
      </w:pPr>
      <w:r>
        <w:rPr>
          <w:rFonts w:hint="eastAsia" w:ascii="宋体" w:hAnsi="宋体" w:eastAsia="宋体"/>
        </w:rPr>
        <w:t>《个人信息安全保护报告》</w:t>
      </w:r>
    </w:p>
    <w:p w14:paraId="6421972C">
      <w:pPr>
        <w:tabs>
          <w:tab w:val="left" w:pos="1440"/>
        </w:tabs>
        <w:spacing w:line="360" w:lineRule="auto"/>
        <w:ind w:firstLine="420" w:firstLineChars="200"/>
        <w:rPr>
          <w:rFonts w:hint="eastAsia" w:ascii="宋体" w:hAnsi="宋体" w:eastAsia="宋体"/>
        </w:rPr>
      </w:pPr>
      <w:r>
        <w:rPr>
          <w:rFonts w:hint="eastAsia" w:ascii="宋体" w:hAnsi="宋体" w:eastAsia="宋体"/>
        </w:rPr>
        <w:t>《个人信息风险清单》</w:t>
      </w:r>
    </w:p>
    <w:p w14:paraId="37205E1D">
      <w:pPr>
        <w:tabs>
          <w:tab w:val="left" w:pos="1440"/>
        </w:tabs>
        <w:spacing w:line="360" w:lineRule="auto"/>
        <w:ind w:firstLine="420" w:firstLineChars="200"/>
        <w:rPr>
          <w:rFonts w:hint="eastAsia" w:ascii="宋体" w:hAnsi="宋体" w:eastAsia="宋体"/>
        </w:rPr>
      </w:pPr>
      <w:r>
        <w:rPr>
          <w:rFonts w:hint="eastAsia" w:ascii="宋体" w:hAnsi="宋体" w:eastAsia="宋体"/>
        </w:rPr>
        <w:t>《个人信息保护影响评估报告》</w:t>
      </w:r>
    </w:p>
    <w:p w14:paraId="20F79A1D">
      <w:pPr>
        <w:pStyle w:val="4"/>
        <w:spacing w:before="0" w:after="0" w:line="360" w:lineRule="auto"/>
        <w:rPr>
          <w:rFonts w:hint="eastAsia"/>
        </w:rPr>
      </w:pPr>
      <w:r>
        <w:rPr>
          <w:rFonts w:hint="eastAsia"/>
        </w:rPr>
        <w:t>数据安全应急保障</w:t>
      </w:r>
      <w:r>
        <w:rPr>
          <w:rFonts w:hint="eastAsia"/>
          <w:lang w:val="en-US" w:eastAsia="zh-CN"/>
        </w:rPr>
        <w:t>服务</w:t>
      </w:r>
      <w:r>
        <w:rPr>
          <w:rFonts w:hint="eastAsia"/>
        </w:rPr>
        <w:t>要求</w:t>
      </w:r>
    </w:p>
    <w:p w14:paraId="061CCF43">
      <w:pPr>
        <w:tabs>
          <w:tab w:val="left" w:pos="1440"/>
        </w:tabs>
        <w:spacing w:line="360" w:lineRule="auto"/>
        <w:ind w:firstLine="420" w:firstLineChars="200"/>
        <w:rPr>
          <w:rFonts w:hint="eastAsia"/>
        </w:rPr>
      </w:pPr>
      <w:r>
        <w:rPr>
          <w:rFonts w:hint="eastAsia"/>
        </w:rPr>
        <w:t>在项目服务期内，服务提供商提供信息安全事件应急响应服务。应急响应内容主要包括：</w:t>
      </w:r>
      <w:r>
        <w:rPr>
          <w:rFonts w:hint="eastAsia"/>
          <w:lang w:val="en-US" w:eastAsia="zh-CN"/>
        </w:rPr>
        <w:t>数据泄漏、数据篡改</w:t>
      </w:r>
      <w:r>
        <w:rPr>
          <w:rFonts w:hint="eastAsia"/>
        </w:rPr>
        <w:t>、应用系统瘫痪及其他严重</w:t>
      </w:r>
      <w:r>
        <w:rPr>
          <w:rFonts w:hint="eastAsia"/>
          <w:lang w:eastAsia="zh-CN"/>
        </w:rPr>
        <w:t>影响</w:t>
      </w:r>
      <w:r>
        <w:rPr>
          <w:rFonts w:hint="eastAsia"/>
        </w:rPr>
        <w:t>业务运行的事件。</w:t>
      </w:r>
    </w:p>
    <w:p w14:paraId="1332E055">
      <w:pPr>
        <w:tabs>
          <w:tab w:val="left" w:pos="1440"/>
        </w:tabs>
        <w:spacing w:line="360" w:lineRule="auto"/>
        <w:ind w:firstLine="420" w:firstLineChars="200"/>
        <w:rPr>
          <w:rFonts w:hint="eastAsia"/>
        </w:rPr>
      </w:pPr>
      <w:r>
        <w:rPr>
          <w:rFonts w:hint="eastAsia"/>
        </w:rPr>
        <w:t>a)对于数据泄漏、数据篡改现象发生时</w:t>
      </w:r>
      <w:r>
        <w:rPr>
          <w:rFonts w:hint="eastAsia"/>
          <w:lang w:eastAsia="zh-CN"/>
        </w:rPr>
        <w:t>，</w:t>
      </w:r>
      <w:r>
        <w:rPr>
          <w:rFonts w:hint="eastAsia"/>
        </w:rPr>
        <w:t>在十分钟内响应，提供远程诊断技术支持</w:t>
      </w:r>
      <w:r>
        <w:rPr>
          <w:rFonts w:hint="eastAsia"/>
          <w:lang w:eastAsia="zh-CN"/>
        </w:rPr>
        <w:t>；</w:t>
      </w:r>
      <w:r>
        <w:rPr>
          <w:rFonts w:hint="eastAsia"/>
        </w:rPr>
        <w:t>远程无法解决的，2小时内赶到现场，解决故障恢复正常或提出可行的临时解决措施。</w:t>
      </w:r>
    </w:p>
    <w:p w14:paraId="18A28277">
      <w:pPr>
        <w:tabs>
          <w:tab w:val="left" w:pos="1440"/>
        </w:tabs>
        <w:spacing w:line="360" w:lineRule="auto"/>
        <w:ind w:firstLine="420" w:firstLineChars="200"/>
        <w:rPr>
          <w:rFonts w:hint="eastAsia"/>
        </w:rPr>
      </w:pPr>
      <w:r>
        <w:rPr>
          <w:rFonts w:hint="eastAsia"/>
        </w:rPr>
        <w:t>b)出现网络大范围瘫痪、应用系统瘫痪及其他严重</w:t>
      </w:r>
      <w:r>
        <w:rPr>
          <w:rFonts w:hint="eastAsia"/>
          <w:lang w:eastAsia="zh-CN"/>
        </w:rPr>
        <w:t>影响</w:t>
      </w:r>
      <w:r>
        <w:rPr>
          <w:rFonts w:hint="eastAsia"/>
        </w:rPr>
        <w:t>业务运行的事件时</w:t>
      </w:r>
      <w:r>
        <w:rPr>
          <w:rFonts w:hint="eastAsia"/>
          <w:lang w:eastAsia="zh-CN"/>
        </w:rPr>
        <w:t>，</w:t>
      </w:r>
      <w:r>
        <w:rPr>
          <w:rFonts w:hint="eastAsia"/>
        </w:rPr>
        <w:t>应立即派具有相关应急经验的工程师2小时内上门协助处理</w:t>
      </w:r>
      <w:r>
        <w:rPr>
          <w:rFonts w:hint="eastAsia"/>
          <w:lang w:eastAsia="zh-CN"/>
        </w:rPr>
        <w:t>；</w:t>
      </w:r>
      <w:r>
        <w:rPr>
          <w:rFonts w:hint="eastAsia"/>
        </w:rPr>
        <w:t>若指定时间内未能解决故障，应提供事件处理的临时解决方案。</w:t>
      </w:r>
    </w:p>
    <w:p w14:paraId="51DBD8BF">
      <w:pPr>
        <w:tabs>
          <w:tab w:val="left" w:pos="1440"/>
        </w:tabs>
        <w:spacing w:line="360" w:lineRule="auto"/>
        <w:ind w:firstLine="420" w:firstLineChars="200"/>
        <w:rPr>
          <w:rFonts w:hint="eastAsia" w:eastAsiaTheme="minorEastAsia"/>
          <w:lang w:eastAsia="zh-CN"/>
        </w:rPr>
      </w:pPr>
      <w:r>
        <w:rPr>
          <w:rFonts w:hint="eastAsia"/>
        </w:rPr>
        <w:t>在应急响应结</w:t>
      </w:r>
      <w:r>
        <w:rPr>
          <w:rFonts w:hint="eastAsia"/>
          <w:lang w:eastAsia="zh-CN"/>
        </w:rPr>
        <w:t>束后</w:t>
      </w:r>
      <w:r>
        <w:rPr>
          <w:rFonts w:hint="eastAsia"/>
        </w:rPr>
        <w:t>3天内，需提供本次应急解决处理方案和安全防护建议，针对事件中的问题协助我院进行安全加固</w:t>
      </w:r>
      <w:r>
        <w:rPr>
          <w:rFonts w:hint="eastAsia"/>
          <w:lang w:eastAsia="zh-CN"/>
        </w:rPr>
        <w:t>。</w:t>
      </w:r>
    </w:p>
    <w:p w14:paraId="0F33C66C">
      <w:pPr>
        <w:tabs>
          <w:tab w:val="left" w:pos="1440"/>
        </w:tabs>
        <w:spacing w:line="360" w:lineRule="auto"/>
        <w:ind w:firstLine="420" w:firstLineChars="200"/>
        <w:rPr>
          <w:rFonts w:hint="eastAsia" w:ascii="宋体" w:hAnsi="宋体" w:eastAsia="宋体"/>
        </w:rPr>
      </w:pPr>
      <w:r>
        <w:rPr>
          <w:rFonts w:hint="eastAsia" w:ascii="宋体" w:hAnsi="宋体" w:eastAsia="宋体"/>
        </w:rPr>
        <w:t>服务范围：全院。</w:t>
      </w:r>
    </w:p>
    <w:p w14:paraId="4B7A0151">
      <w:pPr>
        <w:tabs>
          <w:tab w:val="left" w:pos="1440"/>
        </w:tabs>
        <w:spacing w:line="360" w:lineRule="auto"/>
        <w:ind w:firstLine="420" w:firstLineChars="200"/>
        <w:rPr>
          <w:rFonts w:hint="default" w:ascii="宋体" w:hAnsi="宋体" w:eastAsia="宋体"/>
          <w:lang w:val="en-US"/>
        </w:rPr>
      </w:pPr>
      <w:r>
        <w:rPr>
          <w:rFonts w:hint="eastAsia" w:ascii="宋体" w:hAnsi="宋体" w:eastAsia="宋体"/>
          <w:lang w:val="en-US" w:eastAsia="zh-CN"/>
        </w:rPr>
        <w:t>服务周期：服务期内</w:t>
      </w:r>
    </w:p>
    <w:p w14:paraId="05CA6442">
      <w:pPr>
        <w:tabs>
          <w:tab w:val="left" w:pos="1440"/>
        </w:tabs>
        <w:spacing w:line="360" w:lineRule="auto"/>
        <w:ind w:firstLine="420" w:firstLineChars="200"/>
        <w:rPr>
          <w:rFonts w:hint="eastAsia" w:ascii="宋体" w:hAnsi="宋体" w:eastAsia="宋体"/>
        </w:rPr>
      </w:pPr>
      <w:r>
        <w:rPr>
          <w:rFonts w:hint="eastAsia" w:ascii="宋体" w:hAnsi="宋体" w:eastAsia="宋体"/>
        </w:rPr>
        <w:t>服务频率：</w:t>
      </w:r>
      <w:r>
        <w:rPr>
          <w:rFonts w:hint="eastAsia" w:ascii="宋体" w:hAnsi="宋体" w:eastAsia="宋体"/>
          <w:lang w:val="en-US" w:eastAsia="zh-CN"/>
        </w:rPr>
        <w:t>按需</w:t>
      </w:r>
      <w:r>
        <w:rPr>
          <w:rFonts w:hint="eastAsia" w:ascii="宋体" w:hAnsi="宋体" w:eastAsia="宋体"/>
        </w:rPr>
        <w:t>。</w:t>
      </w:r>
    </w:p>
    <w:p w14:paraId="6BDD83C8">
      <w:pPr>
        <w:spacing w:line="360" w:lineRule="auto"/>
        <w:ind w:left="900"/>
        <w:rPr>
          <w:rFonts w:hint="eastAsia" w:ascii="宋体" w:hAnsi="宋体" w:eastAsia="宋体"/>
          <w:b/>
          <w:bCs/>
        </w:rPr>
      </w:pPr>
      <w:r>
        <w:rPr>
          <w:rFonts w:hint="eastAsia" w:ascii="宋体" w:hAnsi="宋体" w:eastAsia="宋体"/>
          <w:b/>
          <w:bCs/>
        </w:rPr>
        <w:t>服务方式：</w:t>
      </w:r>
    </w:p>
    <w:p w14:paraId="42AAF07C">
      <w:pPr>
        <w:tabs>
          <w:tab w:val="left" w:pos="1440"/>
        </w:tabs>
        <w:spacing w:line="360" w:lineRule="auto"/>
        <w:ind w:firstLine="420" w:firstLineChars="200"/>
        <w:rPr>
          <w:rFonts w:hint="eastAsia" w:ascii="宋体" w:hAnsi="宋体" w:eastAsia="宋体"/>
        </w:rPr>
      </w:pPr>
      <w:r>
        <w:rPr>
          <w:rFonts w:hint="eastAsia" w:ascii="宋体" w:hAnsi="宋体" w:eastAsia="宋体"/>
        </w:rPr>
        <w:t>服务方式：现场</w:t>
      </w:r>
      <w:r>
        <w:rPr>
          <w:rFonts w:hint="eastAsia" w:ascii="宋体" w:hAnsi="宋体" w:eastAsia="宋体"/>
          <w:lang w:val="en-US" w:eastAsia="zh-CN"/>
        </w:rPr>
        <w:t>及远程</w:t>
      </w:r>
      <w:r>
        <w:rPr>
          <w:rFonts w:hint="eastAsia" w:ascii="宋体" w:hAnsi="宋体" w:eastAsia="宋体"/>
        </w:rPr>
        <w:t>服务。</w:t>
      </w:r>
    </w:p>
    <w:p w14:paraId="26903D56">
      <w:pPr>
        <w:spacing w:line="360" w:lineRule="auto"/>
        <w:ind w:left="900"/>
        <w:rPr>
          <w:rFonts w:hint="eastAsia" w:ascii="宋体" w:hAnsi="宋体" w:eastAsia="宋体"/>
          <w:b/>
          <w:bCs/>
        </w:rPr>
      </w:pPr>
      <w:r>
        <w:rPr>
          <w:rFonts w:hint="eastAsia" w:ascii="宋体" w:hAnsi="宋体" w:eastAsia="宋体"/>
          <w:b/>
          <w:bCs/>
        </w:rPr>
        <w:t>服务输出：</w:t>
      </w:r>
    </w:p>
    <w:p w14:paraId="46DC847D">
      <w:pPr>
        <w:tabs>
          <w:tab w:val="left" w:pos="1440"/>
        </w:tabs>
        <w:spacing w:line="360" w:lineRule="auto"/>
        <w:ind w:firstLine="420" w:firstLineChars="200"/>
        <w:rPr>
          <w:rFonts w:hint="eastAsia" w:ascii="宋体" w:hAnsi="宋体" w:eastAsia="宋体"/>
        </w:rPr>
      </w:pPr>
      <w:r>
        <w:rPr>
          <w:rFonts w:hint="eastAsia" w:ascii="宋体" w:hAnsi="宋体" w:eastAsia="宋体"/>
        </w:rPr>
        <w:t>《数据安全应急响应报告》</w:t>
      </w:r>
    </w:p>
    <w:p w14:paraId="3A8B0D96">
      <w:pPr>
        <w:pStyle w:val="4"/>
        <w:spacing w:before="0" w:after="0" w:line="360" w:lineRule="auto"/>
        <w:rPr>
          <w:rFonts w:hint="eastAsia"/>
        </w:rPr>
      </w:pPr>
      <w:r>
        <w:rPr>
          <w:rFonts w:hint="eastAsia"/>
        </w:rPr>
        <w:t>数据安全应急演练及安全培训</w:t>
      </w:r>
      <w:r>
        <w:rPr>
          <w:rFonts w:hint="eastAsia"/>
          <w:lang w:val="en-US" w:eastAsia="zh-CN"/>
        </w:rPr>
        <w:t>服务</w:t>
      </w:r>
      <w:r>
        <w:rPr>
          <w:rFonts w:hint="eastAsia"/>
        </w:rPr>
        <w:t>要求</w:t>
      </w:r>
    </w:p>
    <w:p w14:paraId="6EE5649C">
      <w:pPr>
        <w:tabs>
          <w:tab w:val="left" w:pos="1440"/>
        </w:tabs>
        <w:spacing w:line="360" w:lineRule="auto"/>
        <w:ind w:firstLine="420" w:firstLineChars="200"/>
        <w:rPr>
          <w:rFonts w:hint="eastAsia"/>
        </w:rPr>
      </w:pPr>
      <w:r>
        <w:rPr>
          <w:rFonts w:hint="eastAsia"/>
        </w:rPr>
        <w:t>服务提供商需协助我院完成应急响应的应急预案，也需要根据安全态势的发展不断的进行优化与完善。</w:t>
      </w:r>
    </w:p>
    <w:p w14:paraId="4EAEE7B7">
      <w:pPr>
        <w:tabs>
          <w:tab w:val="left" w:pos="1440"/>
        </w:tabs>
        <w:spacing w:line="360" w:lineRule="auto"/>
        <w:ind w:firstLine="420" w:firstLineChars="200"/>
        <w:rPr>
          <w:rFonts w:hint="eastAsia"/>
        </w:rPr>
      </w:pPr>
      <w:r>
        <w:rPr>
          <w:rFonts w:hint="eastAsia"/>
        </w:rPr>
        <w:t>协助我院举办数据安全应急演练工作，通过加强应急演练，完善应急流程与操作，提升我院对重大安全事件的应急处置能力，并对相关人员提供数据安全培训，培训内容包含但不限于：</w:t>
      </w:r>
    </w:p>
    <w:p w14:paraId="702068AF">
      <w:pPr>
        <w:numPr>
          <w:ilvl w:val="0"/>
          <w:numId w:val="4"/>
        </w:numPr>
        <w:tabs>
          <w:tab w:val="left" w:pos="1440"/>
        </w:tabs>
        <w:spacing w:line="360" w:lineRule="auto"/>
        <w:ind w:left="420" w:leftChars="0" w:hanging="420" w:firstLineChars="0"/>
        <w:rPr>
          <w:rFonts w:hint="eastAsia"/>
        </w:rPr>
      </w:pPr>
      <w:r>
        <w:rPr>
          <w:rFonts w:hint="eastAsia"/>
        </w:rPr>
        <w:t>个人信息保护；</w:t>
      </w:r>
    </w:p>
    <w:p w14:paraId="253D6A84">
      <w:pPr>
        <w:numPr>
          <w:ilvl w:val="0"/>
          <w:numId w:val="4"/>
        </w:numPr>
        <w:tabs>
          <w:tab w:val="left" w:pos="1440"/>
        </w:tabs>
        <w:spacing w:line="360" w:lineRule="auto"/>
        <w:ind w:left="420" w:leftChars="0" w:hanging="420" w:firstLineChars="0"/>
        <w:rPr>
          <w:rFonts w:hint="eastAsia"/>
        </w:rPr>
      </w:pPr>
      <w:r>
        <w:rPr>
          <w:rFonts w:hint="eastAsia"/>
        </w:rPr>
        <w:t>安全事件的引发注意事项等；</w:t>
      </w:r>
    </w:p>
    <w:p w14:paraId="77A84F3E">
      <w:pPr>
        <w:numPr>
          <w:ilvl w:val="0"/>
          <w:numId w:val="4"/>
        </w:numPr>
        <w:tabs>
          <w:tab w:val="left" w:pos="1440"/>
        </w:tabs>
        <w:spacing w:line="360" w:lineRule="auto"/>
        <w:ind w:left="420" w:leftChars="0" w:hanging="420" w:firstLineChars="0"/>
        <w:rPr>
          <w:rFonts w:hint="eastAsia"/>
        </w:rPr>
      </w:pPr>
      <w:r>
        <w:rPr>
          <w:rFonts w:hint="eastAsia"/>
        </w:rPr>
        <w:t>培训方向为单位内全员安全意识宣贯</w:t>
      </w:r>
    </w:p>
    <w:p w14:paraId="16C0F97E">
      <w:pPr>
        <w:tabs>
          <w:tab w:val="left" w:pos="1440"/>
        </w:tabs>
        <w:spacing w:line="360" w:lineRule="auto"/>
        <w:ind w:firstLine="420" w:firstLineChars="200"/>
        <w:rPr>
          <w:rFonts w:hint="eastAsia" w:ascii="宋体" w:hAnsi="宋体" w:eastAsia="宋体"/>
        </w:rPr>
      </w:pPr>
      <w:r>
        <w:rPr>
          <w:rFonts w:hint="eastAsia" w:ascii="宋体" w:hAnsi="宋体" w:eastAsia="宋体"/>
        </w:rPr>
        <w:t>服务范围：全院。</w:t>
      </w:r>
    </w:p>
    <w:p w14:paraId="00B7AE27">
      <w:pPr>
        <w:tabs>
          <w:tab w:val="left" w:pos="1440"/>
        </w:tabs>
        <w:spacing w:line="360" w:lineRule="auto"/>
        <w:ind w:firstLine="420" w:firstLineChars="200"/>
        <w:rPr>
          <w:rFonts w:hint="default" w:ascii="宋体" w:hAnsi="宋体" w:eastAsia="宋体"/>
          <w:lang w:val="en-US"/>
        </w:rPr>
      </w:pPr>
      <w:r>
        <w:rPr>
          <w:rFonts w:hint="eastAsia" w:ascii="宋体" w:hAnsi="宋体" w:eastAsia="宋体"/>
          <w:lang w:val="en-US" w:eastAsia="zh-CN"/>
        </w:rPr>
        <w:t>服务周期：服务期内</w:t>
      </w:r>
    </w:p>
    <w:p w14:paraId="6C71DF74">
      <w:pPr>
        <w:tabs>
          <w:tab w:val="left" w:pos="1440"/>
        </w:tabs>
        <w:spacing w:line="360" w:lineRule="auto"/>
        <w:ind w:firstLine="420" w:firstLineChars="200"/>
        <w:rPr>
          <w:rFonts w:hint="eastAsia" w:ascii="宋体" w:hAnsi="宋体" w:eastAsia="宋体"/>
        </w:rPr>
      </w:pPr>
      <w:r>
        <w:rPr>
          <w:rFonts w:hint="eastAsia" w:ascii="宋体" w:hAnsi="宋体" w:eastAsia="宋体"/>
        </w:rPr>
        <w:t>服务频率：</w:t>
      </w:r>
      <w:r>
        <w:rPr>
          <w:rFonts w:hint="eastAsia" w:ascii="宋体" w:hAnsi="宋体" w:eastAsia="宋体"/>
          <w:lang w:val="en-US" w:eastAsia="zh-CN"/>
        </w:rPr>
        <w:t>1次</w:t>
      </w:r>
      <w:r>
        <w:rPr>
          <w:rFonts w:hint="eastAsia" w:ascii="宋体" w:hAnsi="宋体" w:eastAsia="宋体"/>
        </w:rPr>
        <w:t>。</w:t>
      </w:r>
    </w:p>
    <w:p w14:paraId="6C05D182">
      <w:pPr>
        <w:spacing w:line="360" w:lineRule="auto"/>
        <w:ind w:left="900"/>
        <w:rPr>
          <w:rFonts w:hint="eastAsia" w:ascii="宋体" w:hAnsi="宋体" w:eastAsia="宋体"/>
          <w:b/>
          <w:bCs/>
        </w:rPr>
      </w:pPr>
      <w:r>
        <w:rPr>
          <w:rFonts w:hint="eastAsia" w:ascii="宋体" w:hAnsi="宋体" w:eastAsia="宋体"/>
          <w:b/>
          <w:bCs/>
        </w:rPr>
        <w:t>服务方式：</w:t>
      </w:r>
    </w:p>
    <w:p w14:paraId="00480177">
      <w:pPr>
        <w:tabs>
          <w:tab w:val="left" w:pos="1440"/>
        </w:tabs>
        <w:spacing w:line="360" w:lineRule="auto"/>
        <w:ind w:firstLine="420" w:firstLineChars="200"/>
        <w:rPr>
          <w:rFonts w:hint="eastAsia" w:ascii="宋体" w:hAnsi="宋体" w:eastAsia="宋体"/>
        </w:rPr>
      </w:pPr>
      <w:r>
        <w:rPr>
          <w:rFonts w:hint="eastAsia" w:ascii="宋体" w:hAnsi="宋体" w:eastAsia="宋体"/>
        </w:rPr>
        <w:t>服务方式：现场服务。</w:t>
      </w:r>
    </w:p>
    <w:p w14:paraId="0FDF045E">
      <w:pPr>
        <w:spacing w:line="360" w:lineRule="auto"/>
        <w:ind w:left="900"/>
        <w:rPr>
          <w:rFonts w:hint="eastAsia" w:ascii="宋体" w:hAnsi="宋体" w:eastAsia="宋体"/>
          <w:b/>
          <w:bCs/>
        </w:rPr>
      </w:pPr>
      <w:r>
        <w:rPr>
          <w:rFonts w:hint="eastAsia" w:ascii="宋体" w:hAnsi="宋体" w:eastAsia="宋体"/>
          <w:b/>
          <w:bCs/>
        </w:rPr>
        <w:t>服务输出：</w:t>
      </w:r>
    </w:p>
    <w:p w14:paraId="31D574D9">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rPr>
      </w:pPr>
      <w:r>
        <w:rPr>
          <w:rFonts w:hint="eastAsia" w:ascii="宋体" w:hAnsi="宋体" w:eastAsia="宋体"/>
        </w:rPr>
        <w:t>《安全事件应急演练预案》</w:t>
      </w:r>
    </w:p>
    <w:p w14:paraId="018C77BB">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rPr>
      </w:pPr>
      <w:r>
        <w:rPr>
          <w:rFonts w:hint="eastAsia" w:ascii="宋体" w:hAnsi="宋体" w:eastAsia="宋体"/>
        </w:rPr>
        <w:t>《安全事件应急演练方案》</w:t>
      </w:r>
    </w:p>
    <w:p w14:paraId="3F0D9605">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rPr>
      </w:pPr>
      <w:r>
        <w:rPr>
          <w:rFonts w:hint="eastAsia" w:ascii="宋体" w:hAnsi="宋体" w:eastAsia="宋体"/>
        </w:rPr>
        <w:t>《安全事件应急演练总结报告》</w:t>
      </w:r>
    </w:p>
    <w:p w14:paraId="3B7C9472">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rPr>
      </w:pPr>
      <w:r>
        <w:rPr>
          <w:rFonts w:hint="eastAsia" w:ascii="宋体" w:hAnsi="宋体" w:eastAsia="宋体"/>
        </w:rPr>
        <w:t>《数据安全培训记录材料》</w:t>
      </w:r>
    </w:p>
    <w:p w14:paraId="17E94CDE">
      <w:pPr>
        <w:pStyle w:val="4"/>
        <w:spacing w:before="0" w:after="0" w:line="360" w:lineRule="auto"/>
        <w:rPr>
          <w:rFonts w:hint="eastAsia"/>
        </w:rPr>
      </w:pPr>
      <w:r>
        <w:rPr>
          <w:rFonts w:hint="eastAsia"/>
        </w:rPr>
        <w:t>数据安全迎检</w:t>
      </w:r>
      <w:r>
        <w:rPr>
          <w:rFonts w:hint="eastAsia"/>
          <w:lang w:val="en-US" w:eastAsia="zh-CN"/>
        </w:rPr>
        <w:t>服务</w:t>
      </w:r>
      <w:r>
        <w:rPr>
          <w:rFonts w:hint="eastAsia"/>
        </w:rPr>
        <w:t>要求</w:t>
      </w:r>
    </w:p>
    <w:p w14:paraId="14A84CE7">
      <w:pPr>
        <w:tabs>
          <w:tab w:val="left" w:pos="1440"/>
        </w:tabs>
        <w:spacing w:line="360" w:lineRule="auto"/>
        <w:ind w:firstLine="420" w:firstLineChars="200"/>
        <w:rPr>
          <w:rFonts w:hint="eastAsia"/>
        </w:rPr>
      </w:pPr>
      <w:r>
        <w:rPr>
          <w:rFonts w:hint="eastAsia"/>
        </w:rPr>
        <w:t>服务提供商协助我院顺利通过相关监管部门或上级监管单位的网络数据安全检查和审计，并针对信息安全相关的活动提供人员和技术支持，在检查完成后提供《数据安全迎检报告》</w:t>
      </w:r>
    </w:p>
    <w:p w14:paraId="06631AC6">
      <w:pPr>
        <w:tabs>
          <w:tab w:val="left" w:pos="1440"/>
        </w:tabs>
        <w:spacing w:line="360" w:lineRule="auto"/>
        <w:ind w:firstLine="420" w:firstLineChars="200"/>
        <w:rPr>
          <w:rFonts w:hint="eastAsia" w:ascii="宋体" w:hAnsi="宋体" w:eastAsia="宋体"/>
        </w:rPr>
      </w:pPr>
      <w:r>
        <w:rPr>
          <w:rFonts w:hint="eastAsia" w:ascii="宋体" w:hAnsi="宋体" w:eastAsia="宋体"/>
        </w:rPr>
        <w:t>服务范围：全院。</w:t>
      </w:r>
    </w:p>
    <w:p w14:paraId="75CA29DC">
      <w:pPr>
        <w:tabs>
          <w:tab w:val="left" w:pos="1440"/>
        </w:tabs>
        <w:spacing w:line="360" w:lineRule="auto"/>
        <w:ind w:firstLine="420" w:firstLineChars="200"/>
        <w:rPr>
          <w:rFonts w:hint="default" w:ascii="宋体" w:hAnsi="宋体" w:eastAsia="宋体"/>
          <w:lang w:val="en-US"/>
        </w:rPr>
      </w:pPr>
      <w:r>
        <w:rPr>
          <w:rFonts w:hint="eastAsia" w:ascii="宋体" w:hAnsi="宋体" w:eastAsia="宋体"/>
          <w:lang w:val="en-US" w:eastAsia="zh-CN"/>
        </w:rPr>
        <w:t>服务周期：服务期内</w:t>
      </w:r>
    </w:p>
    <w:p w14:paraId="5BA4E214">
      <w:pPr>
        <w:tabs>
          <w:tab w:val="left" w:pos="1440"/>
        </w:tabs>
        <w:spacing w:line="360" w:lineRule="auto"/>
        <w:ind w:firstLine="420" w:firstLineChars="200"/>
        <w:rPr>
          <w:rFonts w:hint="eastAsia" w:ascii="宋体" w:hAnsi="宋体" w:eastAsia="宋体"/>
        </w:rPr>
      </w:pPr>
      <w:r>
        <w:rPr>
          <w:rFonts w:hint="eastAsia" w:ascii="宋体" w:hAnsi="宋体" w:eastAsia="宋体"/>
        </w:rPr>
        <w:t>服务频率：</w:t>
      </w:r>
      <w:r>
        <w:rPr>
          <w:rFonts w:hint="eastAsia" w:ascii="宋体" w:hAnsi="宋体" w:eastAsia="宋体"/>
          <w:lang w:val="en-US" w:eastAsia="zh-CN"/>
        </w:rPr>
        <w:t>按需</w:t>
      </w:r>
      <w:r>
        <w:rPr>
          <w:rFonts w:hint="eastAsia" w:ascii="宋体" w:hAnsi="宋体" w:eastAsia="宋体"/>
        </w:rPr>
        <w:t>。</w:t>
      </w:r>
    </w:p>
    <w:p w14:paraId="51F6567D">
      <w:pPr>
        <w:spacing w:line="360" w:lineRule="auto"/>
        <w:ind w:left="900"/>
        <w:rPr>
          <w:rFonts w:hint="eastAsia" w:ascii="宋体" w:hAnsi="宋体" w:eastAsia="宋体"/>
          <w:b/>
          <w:bCs/>
        </w:rPr>
      </w:pPr>
      <w:r>
        <w:rPr>
          <w:rFonts w:hint="eastAsia" w:ascii="宋体" w:hAnsi="宋体" w:eastAsia="宋体"/>
          <w:b/>
          <w:bCs/>
        </w:rPr>
        <w:t>服务方式：</w:t>
      </w:r>
    </w:p>
    <w:p w14:paraId="7D91C6C3">
      <w:pPr>
        <w:tabs>
          <w:tab w:val="left" w:pos="1440"/>
        </w:tabs>
        <w:spacing w:line="360" w:lineRule="auto"/>
        <w:ind w:firstLine="420" w:firstLineChars="200"/>
        <w:rPr>
          <w:rFonts w:hint="eastAsia" w:ascii="宋体" w:hAnsi="宋体" w:eastAsia="宋体"/>
        </w:rPr>
      </w:pPr>
      <w:r>
        <w:rPr>
          <w:rFonts w:hint="eastAsia" w:ascii="宋体" w:hAnsi="宋体" w:eastAsia="宋体"/>
        </w:rPr>
        <w:t>服务方式：现场服务。</w:t>
      </w:r>
    </w:p>
    <w:p w14:paraId="6A65AEF0">
      <w:pPr>
        <w:spacing w:line="360" w:lineRule="auto"/>
        <w:ind w:left="900"/>
        <w:rPr>
          <w:rFonts w:hint="eastAsia" w:ascii="宋体" w:hAnsi="宋体" w:eastAsia="宋体"/>
          <w:b/>
          <w:bCs/>
        </w:rPr>
      </w:pPr>
      <w:r>
        <w:rPr>
          <w:rFonts w:hint="eastAsia" w:ascii="宋体" w:hAnsi="宋体" w:eastAsia="宋体"/>
          <w:b/>
          <w:bCs/>
        </w:rPr>
        <w:t>服务输出：</w:t>
      </w:r>
    </w:p>
    <w:p w14:paraId="05FEC260">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宋体" w:hAnsi="宋体" w:eastAsia="宋体"/>
        </w:rPr>
        <w:t>《数据安全迎检报告》</w:t>
      </w:r>
    </w:p>
    <w:p w14:paraId="16A59214">
      <w:pPr>
        <w:pStyle w:val="3"/>
        <w:spacing w:before="0" w:after="0" w:line="360" w:lineRule="auto"/>
        <w:rPr>
          <w:rFonts w:hint="eastAsia"/>
        </w:rPr>
      </w:pPr>
      <w:r>
        <w:rPr>
          <w:rFonts w:hint="eastAsia"/>
        </w:rPr>
        <w:t>实施人员要求</w:t>
      </w:r>
    </w:p>
    <w:p w14:paraId="68E1CD86">
      <w:pPr>
        <w:tabs>
          <w:tab w:val="left" w:pos="1440"/>
        </w:tabs>
        <w:spacing w:line="360" w:lineRule="auto"/>
        <w:ind w:firstLine="420" w:firstLineChars="200"/>
        <w:rPr>
          <w:rFonts w:hint="eastAsia" w:ascii="宋体" w:hAnsi="宋体" w:eastAsia="宋体"/>
        </w:rPr>
      </w:pPr>
      <w:r>
        <w:rPr>
          <w:rFonts w:hint="eastAsia" w:ascii="宋体" w:hAnsi="宋体" w:eastAsia="宋体"/>
        </w:rPr>
        <w:t>为保障服务效果，供应商</w:t>
      </w:r>
      <w:r>
        <w:rPr>
          <w:color w:val="000000"/>
        </w:rPr>
        <w:t>为本项目投入</w:t>
      </w:r>
      <w:r>
        <w:rPr>
          <w:rFonts w:hint="eastAsia"/>
          <w:color w:val="000000"/>
          <w:lang w:val="en-US" w:eastAsia="zh-CN"/>
        </w:rPr>
        <w:t>两</w:t>
      </w:r>
      <w:r>
        <w:rPr>
          <w:color w:val="000000"/>
        </w:rPr>
        <w:t>名</w:t>
      </w:r>
      <w:r>
        <w:rPr>
          <w:rFonts w:hint="eastAsia"/>
          <w:color w:val="000000"/>
        </w:rPr>
        <w:t>数据</w:t>
      </w:r>
      <w:r>
        <w:rPr>
          <w:color w:val="000000"/>
        </w:rPr>
        <w:t>安全工程师</w:t>
      </w:r>
      <w:r>
        <w:rPr>
          <w:rFonts w:hint="eastAsia"/>
          <w:color w:val="000000"/>
        </w:rPr>
        <w:t>提供</w:t>
      </w:r>
      <w:r>
        <w:rPr>
          <w:rFonts w:hint="eastAsia"/>
          <w:color w:val="000000"/>
          <w:lang w:val="en-US" w:eastAsia="zh-CN"/>
        </w:rPr>
        <w:t>每周</w:t>
      </w:r>
      <w:r>
        <w:rPr>
          <w:color w:val="000000"/>
        </w:rPr>
        <w:t>5*8小时现场驻场</w:t>
      </w:r>
      <w:r>
        <w:rPr>
          <w:rFonts w:hint="eastAsia"/>
          <w:color w:val="000000"/>
        </w:rPr>
        <w:t>数据安全</w:t>
      </w:r>
      <w:r>
        <w:rPr>
          <w:color w:val="000000"/>
        </w:rPr>
        <w:t>服务</w:t>
      </w:r>
      <w:r>
        <w:rPr>
          <w:rFonts w:hint="eastAsia" w:ascii="宋体" w:hAnsi="宋体" w:eastAsia="宋体"/>
        </w:rPr>
        <w:t>，要求具备</w:t>
      </w:r>
      <w:bookmarkStart w:id="2" w:name="OLE_LINK14"/>
      <w:r>
        <w:rPr>
          <w:rFonts w:hint="eastAsia" w:ascii="宋体" w:hAnsi="宋体" w:eastAsia="宋体"/>
        </w:rPr>
        <w:t>数据安全认证证书</w:t>
      </w:r>
      <w:bookmarkEnd w:id="2"/>
      <w:r>
        <w:rPr>
          <w:rFonts w:hint="eastAsia" w:ascii="宋体" w:hAnsi="宋体" w:eastAsia="宋体"/>
        </w:rPr>
        <w:t>，并须承诺在服务周期内，若采购人要求增派人员，供应商应全力配合采购人，按照采购人要求进行人员增派。</w:t>
      </w:r>
      <w:bookmarkStart w:id="3" w:name="_GoBack"/>
      <w:bookmarkEnd w:id="3"/>
    </w:p>
    <w:p w14:paraId="12D1D3EC">
      <w:pPr>
        <w:pStyle w:val="3"/>
        <w:spacing w:before="0" w:after="0" w:line="360" w:lineRule="auto"/>
        <w:rPr>
          <w:rFonts w:hint="eastAsia"/>
        </w:rPr>
      </w:pPr>
      <w:r>
        <w:rPr>
          <w:rFonts w:hint="eastAsia"/>
        </w:rPr>
        <w:t>服务工具要求</w:t>
      </w:r>
    </w:p>
    <w:tbl>
      <w:tblPr>
        <w:tblStyle w:val="19"/>
        <w:tblW w:w="0" w:type="auto"/>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378"/>
        <w:gridCol w:w="7127"/>
      </w:tblGrid>
      <w:tr w14:paraId="08BC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4701B9B2">
            <w:pPr>
              <w:tabs>
                <w:tab w:val="left" w:pos="1440"/>
              </w:tabs>
              <w:spacing w:line="360" w:lineRule="auto"/>
              <w:jc w:val="center"/>
              <w:rPr>
                <w:rFonts w:hint="eastAsia" w:ascii="宋体" w:hAnsi="宋体" w:eastAsia="宋体"/>
                <w:b/>
                <w:bCs/>
              </w:rPr>
            </w:pPr>
            <w:r>
              <w:rPr>
                <w:rFonts w:ascii="宋体" w:hAnsi="宋体" w:eastAsia="宋体"/>
                <w:b/>
                <w:bCs/>
              </w:rPr>
              <w:t>序号</w:t>
            </w:r>
          </w:p>
        </w:tc>
        <w:tc>
          <w:tcPr>
            <w:tcW w:w="1378" w:type="dxa"/>
            <w:vAlign w:val="center"/>
          </w:tcPr>
          <w:p w14:paraId="283DCD7D">
            <w:pPr>
              <w:tabs>
                <w:tab w:val="left" w:pos="1440"/>
              </w:tabs>
              <w:spacing w:line="360" w:lineRule="auto"/>
              <w:jc w:val="center"/>
              <w:rPr>
                <w:rFonts w:hint="eastAsia" w:ascii="宋体" w:hAnsi="宋体" w:eastAsia="宋体"/>
                <w:b/>
                <w:bCs/>
              </w:rPr>
            </w:pPr>
            <w:r>
              <w:rPr>
                <w:rFonts w:ascii="宋体" w:hAnsi="宋体" w:eastAsia="宋体"/>
                <w:b/>
                <w:bCs/>
              </w:rPr>
              <w:t>工具</w:t>
            </w:r>
          </w:p>
        </w:tc>
        <w:tc>
          <w:tcPr>
            <w:tcW w:w="7127" w:type="dxa"/>
            <w:vAlign w:val="center"/>
          </w:tcPr>
          <w:p w14:paraId="6600F67F">
            <w:pPr>
              <w:tabs>
                <w:tab w:val="left" w:pos="1440"/>
              </w:tabs>
              <w:spacing w:line="360" w:lineRule="auto"/>
              <w:jc w:val="center"/>
              <w:rPr>
                <w:rFonts w:hint="eastAsia" w:ascii="宋体" w:hAnsi="宋体" w:eastAsia="宋体"/>
                <w:b/>
                <w:bCs/>
              </w:rPr>
            </w:pPr>
            <w:r>
              <w:rPr>
                <w:rFonts w:ascii="宋体" w:hAnsi="宋体" w:eastAsia="宋体"/>
                <w:b/>
                <w:bCs/>
              </w:rPr>
              <w:t>主要功能</w:t>
            </w:r>
          </w:p>
        </w:tc>
      </w:tr>
      <w:tr w14:paraId="7902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50953293">
            <w:pPr>
              <w:tabs>
                <w:tab w:val="left" w:pos="1440"/>
              </w:tabs>
              <w:jc w:val="center"/>
              <w:rPr>
                <w:rFonts w:hint="eastAsia" w:ascii="宋体" w:hAnsi="宋体" w:eastAsia="宋体"/>
                <w:b/>
                <w:bCs/>
                <w:sz w:val="18"/>
                <w:szCs w:val="20"/>
              </w:rPr>
            </w:pPr>
            <w:r>
              <w:rPr>
                <w:rFonts w:ascii="宋体" w:hAnsi="宋体" w:eastAsia="宋体"/>
                <w:b/>
                <w:bCs/>
                <w:sz w:val="18"/>
                <w:szCs w:val="20"/>
              </w:rPr>
              <w:t>1</w:t>
            </w:r>
          </w:p>
        </w:tc>
        <w:tc>
          <w:tcPr>
            <w:tcW w:w="1378" w:type="dxa"/>
            <w:vAlign w:val="center"/>
          </w:tcPr>
          <w:p w14:paraId="06C200FB">
            <w:pPr>
              <w:tabs>
                <w:tab w:val="left" w:pos="1440"/>
              </w:tabs>
              <w:jc w:val="center"/>
              <w:rPr>
                <w:rFonts w:hint="eastAsia" w:ascii="宋体" w:hAnsi="宋体" w:eastAsia="宋体"/>
                <w:sz w:val="18"/>
                <w:szCs w:val="20"/>
              </w:rPr>
            </w:pPr>
            <w:r>
              <w:rPr>
                <w:rFonts w:hint="eastAsia" w:ascii="宋体" w:hAnsi="宋体" w:eastAsia="宋体"/>
                <w:sz w:val="18"/>
                <w:szCs w:val="20"/>
              </w:rPr>
              <w:t>数据安全管理平台</w:t>
            </w:r>
          </w:p>
        </w:tc>
        <w:tc>
          <w:tcPr>
            <w:tcW w:w="7127" w:type="dxa"/>
            <w:vAlign w:val="center"/>
          </w:tcPr>
          <w:p w14:paraId="5BAC4CE9">
            <w:pPr>
              <w:tabs>
                <w:tab w:val="left" w:pos="1440"/>
              </w:tabs>
              <w:rPr>
                <w:rFonts w:hint="default" w:ascii="宋体" w:hAnsi="宋体" w:eastAsia="宋体"/>
                <w:sz w:val="18"/>
                <w:szCs w:val="20"/>
                <w:lang w:val="en-US" w:eastAsia="zh-CN"/>
              </w:rPr>
            </w:pPr>
            <w:r>
              <w:rPr>
                <w:rFonts w:hint="eastAsia" w:ascii="宋体" w:hAnsi="宋体" w:eastAsia="宋体"/>
                <w:sz w:val="18"/>
                <w:szCs w:val="20"/>
                <w:lang w:val="en-US" w:eastAsia="zh-CN"/>
              </w:rPr>
              <w:t>提供数据资产地图、数据链路刻画等功能，知悉数据流转。</w:t>
            </w:r>
          </w:p>
        </w:tc>
      </w:tr>
      <w:tr w14:paraId="55C6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01F22CD7">
            <w:pPr>
              <w:tabs>
                <w:tab w:val="left" w:pos="1440"/>
              </w:tabs>
              <w:jc w:val="center"/>
              <w:rPr>
                <w:rFonts w:hint="eastAsia" w:ascii="宋体" w:hAnsi="宋体" w:eastAsia="宋体"/>
                <w:b/>
                <w:bCs/>
                <w:sz w:val="18"/>
                <w:szCs w:val="20"/>
              </w:rPr>
            </w:pPr>
            <w:r>
              <w:rPr>
                <w:rFonts w:ascii="宋体" w:hAnsi="宋体" w:eastAsia="宋体"/>
                <w:b/>
                <w:bCs/>
                <w:sz w:val="18"/>
                <w:szCs w:val="20"/>
              </w:rPr>
              <w:t>2</w:t>
            </w:r>
          </w:p>
        </w:tc>
        <w:tc>
          <w:tcPr>
            <w:tcW w:w="1378" w:type="dxa"/>
            <w:vAlign w:val="center"/>
          </w:tcPr>
          <w:p w14:paraId="42AEF72B">
            <w:pPr>
              <w:tabs>
                <w:tab w:val="left" w:pos="1440"/>
              </w:tabs>
              <w:jc w:val="center"/>
              <w:rPr>
                <w:rFonts w:hint="eastAsia" w:ascii="宋体" w:hAnsi="宋体" w:eastAsia="宋体"/>
                <w:sz w:val="18"/>
                <w:szCs w:val="20"/>
              </w:rPr>
            </w:pPr>
            <w:r>
              <w:rPr>
                <w:rFonts w:hint="eastAsia" w:ascii="宋体" w:hAnsi="宋体" w:eastAsia="宋体"/>
                <w:sz w:val="18"/>
                <w:szCs w:val="20"/>
              </w:rPr>
              <w:t>安全检查箱</w:t>
            </w:r>
          </w:p>
        </w:tc>
        <w:tc>
          <w:tcPr>
            <w:tcW w:w="7127" w:type="dxa"/>
            <w:vAlign w:val="center"/>
          </w:tcPr>
          <w:p w14:paraId="4D4CF5E7">
            <w:pPr>
              <w:tabs>
                <w:tab w:val="left" w:pos="1440"/>
              </w:tabs>
              <w:rPr>
                <w:rFonts w:hint="default" w:ascii="宋体" w:hAnsi="宋体" w:eastAsia="宋体"/>
                <w:sz w:val="18"/>
                <w:szCs w:val="20"/>
                <w:lang w:val="en-US" w:eastAsia="zh-CN"/>
              </w:rPr>
            </w:pPr>
            <w:r>
              <w:rPr>
                <w:rFonts w:hint="eastAsia" w:ascii="宋体" w:hAnsi="宋体" w:eastAsia="宋体"/>
                <w:sz w:val="18"/>
                <w:szCs w:val="20"/>
                <w:lang w:val="en-US" w:eastAsia="zh-CN"/>
              </w:rPr>
              <w:t>针对数据安全、个人信息安全等合规评估内容进行评估</w:t>
            </w:r>
          </w:p>
        </w:tc>
      </w:tr>
      <w:tr w14:paraId="649A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468C4B87">
            <w:pPr>
              <w:tabs>
                <w:tab w:val="left" w:pos="1440"/>
              </w:tabs>
              <w:jc w:val="center"/>
              <w:rPr>
                <w:rFonts w:hint="eastAsia" w:ascii="宋体" w:hAnsi="宋体" w:eastAsia="宋体"/>
                <w:b/>
                <w:bCs/>
                <w:sz w:val="18"/>
                <w:szCs w:val="20"/>
              </w:rPr>
            </w:pPr>
            <w:r>
              <w:rPr>
                <w:rFonts w:ascii="宋体" w:hAnsi="宋体" w:eastAsia="宋体"/>
                <w:b/>
                <w:bCs/>
                <w:sz w:val="18"/>
                <w:szCs w:val="20"/>
              </w:rPr>
              <w:t>3</w:t>
            </w:r>
          </w:p>
        </w:tc>
        <w:tc>
          <w:tcPr>
            <w:tcW w:w="1378" w:type="dxa"/>
            <w:vAlign w:val="center"/>
          </w:tcPr>
          <w:p w14:paraId="0F3A50BD">
            <w:pPr>
              <w:tabs>
                <w:tab w:val="left" w:pos="1440"/>
              </w:tabs>
              <w:jc w:val="center"/>
              <w:rPr>
                <w:rFonts w:hint="eastAsia" w:ascii="宋体" w:hAnsi="宋体" w:eastAsia="宋体"/>
                <w:sz w:val="18"/>
                <w:szCs w:val="20"/>
              </w:rPr>
            </w:pPr>
            <w:r>
              <w:rPr>
                <w:rFonts w:ascii="宋体" w:hAnsi="宋体" w:eastAsia="宋体"/>
                <w:sz w:val="18"/>
                <w:szCs w:val="20"/>
              </w:rPr>
              <w:t>数据分类分级工具</w:t>
            </w:r>
          </w:p>
        </w:tc>
        <w:tc>
          <w:tcPr>
            <w:tcW w:w="7127" w:type="dxa"/>
            <w:vAlign w:val="center"/>
          </w:tcPr>
          <w:p w14:paraId="4B381C34">
            <w:pPr>
              <w:tabs>
                <w:tab w:val="left" w:pos="1440"/>
              </w:tabs>
              <w:rPr>
                <w:rFonts w:hint="eastAsia" w:ascii="宋体" w:hAnsi="宋体" w:eastAsia="宋体"/>
                <w:sz w:val="18"/>
                <w:szCs w:val="20"/>
              </w:rPr>
            </w:pPr>
            <w:r>
              <w:rPr>
                <w:rFonts w:ascii="宋体" w:hAnsi="宋体" w:eastAsia="宋体"/>
                <w:sz w:val="18"/>
                <w:szCs w:val="20"/>
              </w:rPr>
              <w:t>对数据进行扫描并对扫描的数据进行自动分级分类。</w:t>
            </w:r>
          </w:p>
        </w:tc>
      </w:tr>
      <w:tr w14:paraId="7502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177AFD3E">
            <w:pPr>
              <w:tabs>
                <w:tab w:val="left" w:pos="1440"/>
              </w:tabs>
              <w:jc w:val="center"/>
              <w:rPr>
                <w:rFonts w:hint="eastAsia" w:ascii="宋体" w:hAnsi="宋体" w:eastAsia="宋体"/>
                <w:b/>
                <w:bCs/>
                <w:sz w:val="18"/>
                <w:szCs w:val="20"/>
              </w:rPr>
            </w:pPr>
            <w:r>
              <w:rPr>
                <w:rFonts w:ascii="宋体" w:hAnsi="宋体" w:eastAsia="宋体"/>
                <w:b/>
                <w:bCs/>
                <w:sz w:val="18"/>
                <w:szCs w:val="20"/>
              </w:rPr>
              <w:t>4</w:t>
            </w:r>
          </w:p>
        </w:tc>
        <w:tc>
          <w:tcPr>
            <w:tcW w:w="1378" w:type="dxa"/>
            <w:vAlign w:val="center"/>
          </w:tcPr>
          <w:p w14:paraId="6451F442">
            <w:pPr>
              <w:tabs>
                <w:tab w:val="left" w:pos="1440"/>
              </w:tabs>
              <w:jc w:val="center"/>
              <w:rPr>
                <w:rFonts w:hint="eastAsia" w:ascii="宋体" w:hAnsi="宋体" w:eastAsia="宋体"/>
                <w:sz w:val="18"/>
                <w:szCs w:val="20"/>
              </w:rPr>
            </w:pPr>
            <w:r>
              <w:rPr>
                <w:rFonts w:hint="eastAsia" w:ascii="宋体" w:hAnsi="宋体" w:eastAsia="宋体"/>
                <w:sz w:val="18"/>
                <w:szCs w:val="20"/>
              </w:rPr>
              <w:t>接口监测工具</w:t>
            </w:r>
          </w:p>
        </w:tc>
        <w:tc>
          <w:tcPr>
            <w:tcW w:w="7127" w:type="dxa"/>
            <w:vAlign w:val="center"/>
          </w:tcPr>
          <w:p w14:paraId="371485C8">
            <w:pPr>
              <w:tabs>
                <w:tab w:val="left" w:pos="1440"/>
              </w:tabs>
              <w:rPr>
                <w:rFonts w:hint="default" w:ascii="宋体" w:hAnsi="宋体" w:eastAsia="宋体"/>
                <w:sz w:val="18"/>
                <w:szCs w:val="20"/>
                <w:lang w:val="en-US" w:eastAsia="zh-CN"/>
              </w:rPr>
            </w:pPr>
            <w:r>
              <w:rPr>
                <w:rFonts w:hint="eastAsia" w:ascii="宋体" w:hAnsi="宋体" w:eastAsia="宋体"/>
                <w:sz w:val="18"/>
                <w:szCs w:val="20"/>
                <w:lang w:val="en-US" w:eastAsia="zh-CN"/>
              </w:rPr>
              <w:t>梳理应用接口，以及监测接口风险</w:t>
            </w:r>
          </w:p>
        </w:tc>
      </w:tr>
    </w:tbl>
    <w:p w14:paraId="2231C20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简">
    <w:altName w:val="仿宋"/>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3185E"/>
    <w:multiLevelType w:val="singleLevel"/>
    <w:tmpl w:val="3FD3185E"/>
    <w:lvl w:ilvl="0" w:tentative="0">
      <w:start w:val="1"/>
      <w:numFmt w:val="bullet"/>
      <w:lvlText w:val=""/>
      <w:lvlJc w:val="left"/>
      <w:pPr>
        <w:ind w:left="420" w:hanging="420"/>
      </w:pPr>
      <w:rPr>
        <w:rFonts w:hint="default" w:ascii="Wingdings" w:hAnsi="Wingdings"/>
      </w:rPr>
    </w:lvl>
  </w:abstractNum>
  <w:abstractNum w:abstractNumId="1">
    <w:nsid w:val="600273E5"/>
    <w:multiLevelType w:val="multilevel"/>
    <w:tmpl w:val="600273E5"/>
    <w:lvl w:ilvl="0" w:tentative="0">
      <w:start w:val="1"/>
      <w:numFmt w:val="decimal"/>
      <w:lvlText w:val="%1."/>
      <w:lvlJc w:val="left"/>
      <w:pPr>
        <w:ind w:left="425" w:hanging="425"/>
      </w:pPr>
      <w:rPr>
        <w:rFonts w:hint="eastAsia"/>
        <w:sz w:val="32"/>
        <w:szCs w:val="32"/>
      </w:rPr>
    </w:lvl>
    <w:lvl w:ilvl="1" w:tentative="0">
      <w:start w:val="1"/>
      <w:numFmt w:val="decimal"/>
      <w:pStyle w:val="3"/>
      <w:lvlText w:val="%1.%2."/>
      <w:lvlJc w:val="left"/>
      <w:pPr>
        <w:ind w:left="567" w:hanging="567"/>
      </w:pPr>
      <w:rPr>
        <w:rFonts w:hint="eastAsia"/>
      </w:rPr>
    </w:lvl>
    <w:lvl w:ilvl="2" w:tentative="0">
      <w:start w:val="1"/>
      <w:numFmt w:val="decimal"/>
      <w:pStyle w:val="4"/>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739616CD"/>
    <w:multiLevelType w:val="multilevel"/>
    <w:tmpl w:val="739616CD"/>
    <w:lvl w:ilvl="0" w:tentative="0">
      <w:start w:val="1"/>
      <w:numFmt w:val="decimal"/>
      <w:pStyle w:val="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F605A79"/>
    <w:multiLevelType w:val="multilevel"/>
    <w:tmpl w:val="7F605A79"/>
    <w:lvl w:ilvl="0" w:tentative="0">
      <w:start w:val="1"/>
      <w:numFmt w:val="decimal"/>
      <w:pStyle w:val="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13"/>
    <w:rsid w:val="00001394"/>
    <w:rsid w:val="0003102E"/>
    <w:rsid w:val="00034BF7"/>
    <w:rsid w:val="000625EE"/>
    <w:rsid w:val="00073ADA"/>
    <w:rsid w:val="00076BCD"/>
    <w:rsid w:val="00080832"/>
    <w:rsid w:val="00081220"/>
    <w:rsid w:val="00082298"/>
    <w:rsid w:val="000C25EC"/>
    <w:rsid w:val="000C2C01"/>
    <w:rsid w:val="000C36BA"/>
    <w:rsid w:val="000C3FB8"/>
    <w:rsid w:val="000F00F9"/>
    <w:rsid w:val="000F73AA"/>
    <w:rsid w:val="00101107"/>
    <w:rsid w:val="0011094E"/>
    <w:rsid w:val="00114E1C"/>
    <w:rsid w:val="00116719"/>
    <w:rsid w:val="00137258"/>
    <w:rsid w:val="001409D6"/>
    <w:rsid w:val="00147AB5"/>
    <w:rsid w:val="00161836"/>
    <w:rsid w:val="00170ECC"/>
    <w:rsid w:val="00172A66"/>
    <w:rsid w:val="001741ED"/>
    <w:rsid w:val="001867DF"/>
    <w:rsid w:val="00187CE9"/>
    <w:rsid w:val="001924D0"/>
    <w:rsid w:val="00197487"/>
    <w:rsid w:val="001A048B"/>
    <w:rsid w:val="001A114A"/>
    <w:rsid w:val="001B649A"/>
    <w:rsid w:val="001B68BA"/>
    <w:rsid w:val="001D5F6D"/>
    <w:rsid w:val="001E2F32"/>
    <w:rsid w:val="001E70AA"/>
    <w:rsid w:val="00200B61"/>
    <w:rsid w:val="0020163D"/>
    <w:rsid w:val="00206968"/>
    <w:rsid w:val="00221BFD"/>
    <w:rsid w:val="002227C5"/>
    <w:rsid w:val="00222922"/>
    <w:rsid w:val="00223337"/>
    <w:rsid w:val="0022758A"/>
    <w:rsid w:val="00241B28"/>
    <w:rsid w:val="00255D03"/>
    <w:rsid w:val="002661B4"/>
    <w:rsid w:val="00271531"/>
    <w:rsid w:val="00296B49"/>
    <w:rsid w:val="002A52D3"/>
    <w:rsid w:val="002B4197"/>
    <w:rsid w:val="002D2941"/>
    <w:rsid w:val="002E6675"/>
    <w:rsid w:val="003005AC"/>
    <w:rsid w:val="00312D2F"/>
    <w:rsid w:val="0031568F"/>
    <w:rsid w:val="003230FE"/>
    <w:rsid w:val="00324384"/>
    <w:rsid w:val="0036303A"/>
    <w:rsid w:val="0036379E"/>
    <w:rsid w:val="003A0935"/>
    <w:rsid w:val="003A5EB0"/>
    <w:rsid w:val="003C61D2"/>
    <w:rsid w:val="003E29A9"/>
    <w:rsid w:val="003E2C1B"/>
    <w:rsid w:val="003E39BB"/>
    <w:rsid w:val="003E3EB9"/>
    <w:rsid w:val="00411D80"/>
    <w:rsid w:val="00417F05"/>
    <w:rsid w:val="00444DC8"/>
    <w:rsid w:val="004523A8"/>
    <w:rsid w:val="0048119B"/>
    <w:rsid w:val="0048641D"/>
    <w:rsid w:val="00486D0C"/>
    <w:rsid w:val="00491BA2"/>
    <w:rsid w:val="004B1248"/>
    <w:rsid w:val="004B4F93"/>
    <w:rsid w:val="004C1C68"/>
    <w:rsid w:val="004D3E74"/>
    <w:rsid w:val="004E051A"/>
    <w:rsid w:val="00513041"/>
    <w:rsid w:val="00520551"/>
    <w:rsid w:val="00533996"/>
    <w:rsid w:val="0057645F"/>
    <w:rsid w:val="00583813"/>
    <w:rsid w:val="005A0432"/>
    <w:rsid w:val="005B3497"/>
    <w:rsid w:val="005B4E2A"/>
    <w:rsid w:val="00611178"/>
    <w:rsid w:val="00622AA7"/>
    <w:rsid w:val="00631EAA"/>
    <w:rsid w:val="00666040"/>
    <w:rsid w:val="00681A7F"/>
    <w:rsid w:val="00694486"/>
    <w:rsid w:val="006A6D44"/>
    <w:rsid w:val="006B06E6"/>
    <w:rsid w:val="006B7001"/>
    <w:rsid w:val="006C2970"/>
    <w:rsid w:val="006C34E8"/>
    <w:rsid w:val="006C3C3E"/>
    <w:rsid w:val="006E0A14"/>
    <w:rsid w:val="006F4213"/>
    <w:rsid w:val="007163C3"/>
    <w:rsid w:val="007316BA"/>
    <w:rsid w:val="00734D8B"/>
    <w:rsid w:val="00742D34"/>
    <w:rsid w:val="00755F9C"/>
    <w:rsid w:val="007634C3"/>
    <w:rsid w:val="0078740F"/>
    <w:rsid w:val="00787FE0"/>
    <w:rsid w:val="007929D5"/>
    <w:rsid w:val="007A602C"/>
    <w:rsid w:val="007B00D2"/>
    <w:rsid w:val="007B3FF9"/>
    <w:rsid w:val="007D3541"/>
    <w:rsid w:val="007D530C"/>
    <w:rsid w:val="007E46EC"/>
    <w:rsid w:val="007E530E"/>
    <w:rsid w:val="007F240C"/>
    <w:rsid w:val="00817640"/>
    <w:rsid w:val="0082107E"/>
    <w:rsid w:val="00832EDA"/>
    <w:rsid w:val="008420FE"/>
    <w:rsid w:val="00860329"/>
    <w:rsid w:val="00885A53"/>
    <w:rsid w:val="008861D7"/>
    <w:rsid w:val="008A2E13"/>
    <w:rsid w:val="008B18FC"/>
    <w:rsid w:val="008B39DB"/>
    <w:rsid w:val="008C0BAA"/>
    <w:rsid w:val="008C5F5D"/>
    <w:rsid w:val="008C786A"/>
    <w:rsid w:val="008D6D30"/>
    <w:rsid w:val="008E0A6C"/>
    <w:rsid w:val="008F4779"/>
    <w:rsid w:val="009137E7"/>
    <w:rsid w:val="009209C8"/>
    <w:rsid w:val="00950295"/>
    <w:rsid w:val="0095302E"/>
    <w:rsid w:val="00954450"/>
    <w:rsid w:val="00962E42"/>
    <w:rsid w:val="00975BC3"/>
    <w:rsid w:val="00982A07"/>
    <w:rsid w:val="00982C64"/>
    <w:rsid w:val="00993E55"/>
    <w:rsid w:val="009A03A2"/>
    <w:rsid w:val="009A56C3"/>
    <w:rsid w:val="009B34E1"/>
    <w:rsid w:val="009B6506"/>
    <w:rsid w:val="009C1BA8"/>
    <w:rsid w:val="009D7B33"/>
    <w:rsid w:val="009F6A4C"/>
    <w:rsid w:val="00A00D35"/>
    <w:rsid w:val="00A0126A"/>
    <w:rsid w:val="00A02D2F"/>
    <w:rsid w:val="00A03A4D"/>
    <w:rsid w:val="00A4111B"/>
    <w:rsid w:val="00A703A3"/>
    <w:rsid w:val="00A813C8"/>
    <w:rsid w:val="00A96747"/>
    <w:rsid w:val="00AA53E8"/>
    <w:rsid w:val="00AA73AA"/>
    <w:rsid w:val="00AB1BE3"/>
    <w:rsid w:val="00AB7E76"/>
    <w:rsid w:val="00AC7383"/>
    <w:rsid w:val="00AD0EFB"/>
    <w:rsid w:val="00AE3850"/>
    <w:rsid w:val="00AE70EC"/>
    <w:rsid w:val="00AE78AB"/>
    <w:rsid w:val="00AF113F"/>
    <w:rsid w:val="00AF11E4"/>
    <w:rsid w:val="00AF77DA"/>
    <w:rsid w:val="00B364CF"/>
    <w:rsid w:val="00B45CAE"/>
    <w:rsid w:val="00B508E1"/>
    <w:rsid w:val="00B60D9B"/>
    <w:rsid w:val="00B63475"/>
    <w:rsid w:val="00B87374"/>
    <w:rsid w:val="00BB0D18"/>
    <w:rsid w:val="00BB3A58"/>
    <w:rsid w:val="00BD77B9"/>
    <w:rsid w:val="00BD7D28"/>
    <w:rsid w:val="00BE1353"/>
    <w:rsid w:val="00C106E6"/>
    <w:rsid w:val="00C1561D"/>
    <w:rsid w:val="00C25894"/>
    <w:rsid w:val="00C377AC"/>
    <w:rsid w:val="00C55ED5"/>
    <w:rsid w:val="00C601EB"/>
    <w:rsid w:val="00C631A7"/>
    <w:rsid w:val="00C7375E"/>
    <w:rsid w:val="00CA4D38"/>
    <w:rsid w:val="00CB6A7C"/>
    <w:rsid w:val="00CF12BA"/>
    <w:rsid w:val="00CF4CAB"/>
    <w:rsid w:val="00CF798C"/>
    <w:rsid w:val="00D15395"/>
    <w:rsid w:val="00D24878"/>
    <w:rsid w:val="00D46F22"/>
    <w:rsid w:val="00D50EC8"/>
    <w:rsid w:val="00D56866"/>
    <w:rsid w:val="00D6331A"/>
    <w:rsid w:val="00D6343F"/>
    <w:rsid w:val="00D706C3"/>
    <w:rsid w:val="00D7143C"/>
    <w:rsid w:val="00D72782"/>
    <w:rsid w:val="00D8344F"/>
    <w:rsid w:val="00D84DC8"/>
    <w:rsid w:val="00D85427"/>
    <w:rsid w:val="00D87EBC"/>
    <w:rsid w:val="00D96643"/>
    <w:rsid w:val="00DB0E4E"/>
    <w:rsid w:val="00DC5CBD"/>
    <w:rsid w:val="00DC6395"/>
    <w:rsid w:val="00DC6D97"/>
    <w:rsid w:val="00DD2775"/>
    <w:rsid w:val="00DD2F70"/>
    <w:rsid w:val="00DF1649"/>
    <w:rsid w:val="00DF2A90"/>
    <w:rsid w:val="00E0362B"/>
    <w:rsid w:val="00E17693"/>
    <w:rsid w:val="00E178A6"/>
    <w:rsid w:val="00E202C1"/>
    <w:rsid w:val="00E303D4"/>
    <w:rsid w:val="00E51E1F"/>
    <w:rsid w:val="00E8678D"/>
    <w:rsid w:val="00E96128"/>
    <w:rsid w:val="00EA3CE4"/>
    <w:rsid w:val="00EB7259"/>
    <w:rsid w:val="00EE50FC"/>
    <w:rsid w:val="00EF2722"/>
    <w:rsid w:val="00EF3437"/>
    <w:rsid w:val="00EF3D69"/>
    <w:rsid w:val="00F1494E"/>
    <w:rsid w:val="00F33DD7"/>
    <w:rsid w:val="00F565B3"/>
    <w:rsid w:val="00F85C47"/>
    <w:rsid w:val="00F85FE3"/>
    <w:rsid w:val="00FB0D0A"/>
    <w:rsid w:val="00FB7100"/>
    <w:rsid w:val="00FD16F2"/>
    <w:rsid w:val="00FD4394"/>
    <w:rsid w:val="00FE2AB6"/>
    <w:rsid w:val="0BC9181F"/>
    <w:rsid w:val="1A063BF2"/>
    <w:rsid w:val="1A2D5ECD"/>
    <w:rsid w:val="2AB668BF"/>
    <w:rsid w:val="2EBD2361"/>
    <w:rsid w:val="39D3F1F5"/>
    <w:rsid w:val="693F5F7D"/>
    <w:rsid w:val="6EFD65FF"/>
    <w:rsid w:val="7567670C"/>
    <w:rsid w:val="775F569B"/>
    <w:rsid w:val="77FFA535"/>
    <w:rsid w:val="7DCF3DBC"/>
    <w:rsid w:val="AE7F7AEE"/>
    <w:rsid w:val="AF95C79F"/>
    <w:rsid w:val="B5F52016"/>
    <w:rsid w:val="BECE11A6"/>
    <w:rsid w:val="BFE7AA2D"/>
    <w:rsid w:val="DFB37C50"/>
    <w:rsid w:val="F7E7C64C"/>
    <w:rsid w:val="FBFE31D1"/>
    <w:rsid w:val="FFC9B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keepNext/>
      <w:keepLines/>
      <w:numPr>
        <w:ilvl w:val="0"/>
        <w:numId w:val="1"/>
      </w:numPr>
      <w:spacing w:before="240" w:after="240" w:line="360" w:lineRule="auto"/>
      <w:ind w:left="442" w:hanging="442"/>
      <w:outlineLvl w:val="0"/>
    </w:pPr>
    <w:rPr>
      <w:rFonts w:asciiTheme="majorHAnsi" w:hAnsiTheme="majorHAnsi" w:eastAsiaTheme="majorEastAsia" w:cstheme="majorBidi"/>
      <w:b/>
      <w:bCs/>
      <w:sz w:val="48"/>
      <w:szCs w:val="48"/>
    </w:rPr>
  </w:style>
  <w:style w:type="paragraph" w:styleId="3">
    <w:name w:val="heading 2"/>
    <w:basedOn w:val="1"/>
    <w:next w:val="1"/>
    <w:link w:val="25"/>
    <w:autoRedefine/>
    <w:unhideWhenUsed/>
    <w:qFormat/>
    <w:uiPriority w:val="9"/>
    <w:pPr>
      <w:keepNext/>
      <w:keepLines/>
      <w:numPr>
        <w:ilvl w:val="1"/>
        <w:numId w:val="2"/>
      </w:numPr>
      <w:spacing w:before="160" w:after="80"/>
      <w:outlineLvl w:val="1"/>
    </w:pPr>
    <w:rPr>
      <w:rFonts w:ascii="宋体" w:hAnsi="宋体" w:eastAsia="宋体" w:cstheme="majorBidi"/>
      <w:b/>
      <w:bCs/>
      <w:sz w:val="40"/>
      <w:szCs w:val="40"/>
    </w:rPr>
  </w:style>
  <w:style w:type="paragraph" w:styleId="4">
    <w:name w:val="heading 3"/>
    <w:basedOn w:val="1"/>
    <w:next w:val="1"/>
    <w:link w:val="26"/>
    <w:unhideWhenUsed/>
    <w:qFormat/>
    <w:uiPriority w:val="9"/>
    <w:pPr>
      <w:keepNext/>
      <w:keepLines/>
      <w:numPr>
        <w:ilvl w:val="2"/>
        <w:numId w:val="2"/>
      </w:numPr>
      <w:spacing w:before="160" w:after="80"/>
      <w:outlineLvl w:val="2"/>
    </w:pPr>
    <w:rPr>
      <w:rFonts w:ascii="宋体" w:hAnsi="宋体" w:eastAsia="宋体" w:cstheme="majorBidi"/>
      <w:b/>
      <w:bCs/>
      <w:sz w:val="32"/>
      <w:szCs w:val="32"/>
    </w:rPr>
  </w:style>
  <w:style w:type="paragraph" w:styleId="5">
    <w:name w:val="heading 4"/>
    <w:basedOn w:val="1"/>
    <w:next w:val="1"/>
    <w:link w:val="27"/>
    <w:unhideWhenUsed/>
    <w:qFormat/>
    <w:uiPriority w:val="9"/>
    <w:pPr>
      <w:keepNext/>
      <w:keepLines/>
      <w:numPr>
        <w:ilvl w:val="0"/>
        <w:numId w:val="3"/>
      </w:numPr>
      <w:spacing w:before="80" w:after="40"/>
      <w:jc w:val="left"/>
      <w:outlineLvl w:val="3"/>
    </w:pPr>
    <w:rPr>
      <w:rFonts w:ascii="Times New Roman" w:hAnsi="Times New Roman" w:eastAsia="宋体" w:cs="宋体"/>
      <w:sz w:val="24"/>
    </w:rPr>
  </w:style>
  <w:style w:type="paragraph" w:styleId="6">
    <w:name w:val="heading 5"/>
    <w:basedOn w:val="1"/>
    <w:next w:val="1"/>
    <w:link w:val="28"/>
    <w:autoRedefine/>
    <w:unhideWhenUsed/>
    <w:qFormat/>
    <w:uiPriority w:val="9"/>
    <w:pPr>
      <w:keepNext/>
      <w:keepLines/>
      <w:spacing w:before="80" w:after="40"/>
      <w:outlineLvl w:val="4"/>
    </w:pPr>
    <w:rPr>
      <w:rFonts w:cstheme="majorBidi"/>
      <w:sz w:val="24"/>
      <w:szCs w:val="24"/>
    </w:rPr>
  </w:style>
  <w:style w:type="paragraph" w:styleId="7">
    <w:name w:val="heading 6"/>
    <w:basedOn w:val="1"/>
    <w:next w:val="1"/>
    <w:link w:val="29"/>
    <w:unhideWhenUsed/>
    <w:qFormat/>
    <w:uiPriority w:val="9"/>
    <w:pPr>
      <w:keepNext/>
      <w:keepLines/>
      <w:spacing w:before="40"/>
      <w:outlineLvl w:val="5"/>
    </w:pPr>
    <w:rPr>
      <w:rFonts w:cstheme="majorBidi"/>
      <w:b/>
      <w:bCs/>
    </w:rPr>
  </w:style>
  <w:style w:type="paragraph" w:styleId="8">
    <w:name w:val="heading 7"/>
    <w:basedOn w:val="1"/>
    <w:next w:val="1"/>
    <w:link w:val="30"/>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8"/>
    <w:semiHidden/>
    <w:unhideWhenUsed/>
    <w:qFormat/>
    <w:uiPriority w:val="99"/>
    <w:pPr>
      <w:jc w:val="left"/>
    </w:pPr>
  </w:style>
  <w:style w:type="paragraph" w:styleId="12">
    <w:name w:val="Date"/>
    <w:basedOn w:val="1"/>
    <w:next w:val="1"/>
    <w:link w:val="42"/>
    <w:semiHidden/>
    <w:unhideWhenUsed/>
    <w:qFormat/>
    <w:uiPriority w:val="99"/>
    <w:pPr>
      <w:ind w:left="100" w:leftChars="2500"/>
    </w:pPr>
  </w:style>
  <w:style w:type="paragraph" w:styleId="13">
    <w:name w:val="footer"/>
    <w:basedOn w:val="1"/>
    <w:link w:val="52"/>
    <w:unhideWhenUsed/>
    <w:qFormat/>
    <w:uiPriority w:val="99"/>
    <w:pPr>
      <w:tabs>
        <w:tab w:val="center" w:pos="4153"/>
        <w:tab w:val="right" w:pos="8306"/>
      </w:tabs>
      <w:snapToGrid w:val="0"/>
      <w:jc w:val="left"/>
    </w:pPr>
    <w:rPr>
      <w:sz w:val="18"/>
      <w:szCs w:val="18"/>
    </w:rPr>
  </w:style>
  <w:style w:type="paragraph" w:styleId="14">
    <w:name w:val="header"/>
    <w:basedOn w:val="1"/>
    <w:link w:val="51"/>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9"/>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2"/>
    <w:qFormat/>
    <w:uiPriority w:val="9"/>
    <w:rPr>
      <w:rFonts w:asciiTheme="majorHAnsi" w:hAnsiTheme="majorHAnsi" w:eastAsiaTheme="majorEastAsia" w:cstheme="majorBidi"/>
      <w:b/>
      <w:bCs/>
      <w:sz w:val="48"/>
      <w:szCs w:val="48"/>
    </w:rPr>
  </w:style>
  <w:style w:type="character" w:customStyle="1" w:styleId="25">
    <w:name w:val="标题 2 字符"/>
    <w:basedOn w:val="21"/>
    <w:link w:val="3"/>
    <w:qFormat/>
    <w:uiPriority w:val="9"/>
    <w:rPr>
      <w:rFonts w:ascii="宋体" w:hAnsi="宋体" w:eastAsia="宋体" w:cstheme="majorBidi"/>
      <w:b/>
      <w:bCs/>
      <w:sz w:val="40"/>
      <w:szCs w:val="40"/>
    </w:rPr>
  </w:style>
  <w:style w:type="character" w:customStyle="1" w:styleId="26">
    <w:name w:val="标题 3 字符"/>
    <w:basedOn w:val="21"/>
    <w:link w:val="4"/>
    <w:qFormat/>
    <w:uiPriority w:val="9"/>
    <w:rPr>
      <w:rFonts w:ascii="宋体" w:hAnsi="宋体" w:eastAsia="宋体" w:cstheme="majorBidi"/>
      <w:b/>
      <w:bCs/>
      <w:sz w:val="32"/>
      <w:szCs w:val="32"/>
    </w:rPr>
  </w:style>
  <w:style w:type="character" w:customStyle="1" w:styleId="27">
    <w:name w:val="标题 4 字符"/>
    <w:basedOn w:val="21"/>
    <w:link w:val="5"/>
    <w:qFormat/>
    <w:uiPriority w:val="0"/>
    <w:rPr>
      <w:rFonts w:ascii="Times New Roman" w:hAnsi="Times New Roman" w:eastAsia="宋体" w:cs="宋体"/>
      <w:sz w:val="24"/>
    </w:rPr>
  </w:style>
  <w:style w:type="character" w:customStyle="1" w:styleId="28">
    <w:name w:val="标题 5 字符"/>
    <w:basedOn w:val="21"/>
    <w:link w:val="6"/>
    <w:qFormat/>
    <w:uiPriority w:val="0"/>
    <w:rPr>
      <w:rFonts w:cstheme="majorBidi"/>
      <w:sz w:val="24"/>
      <w:szCs w:val="24"/>
    </w:rPr>
  </w:style>
  <w:style w:type="character" w:customStyle="1" w:styleId="29">
    <w:name w:val="标题 6 字符"/>
    <w:basedOn w:val="21"/>
    <w:link w:val="7"/>
    <w:qFormat/>
    <w:uiPriority w:val="0"/>
    <w:rPr>
      <w:rFonts w:cstheme="majorBidi"/>
      <w:b/>
      <w:bCs/>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link w:val="43"/>
    <w:qFormat/>
    <w:uiPriority w:val="34"/>
    <w:pPr>
      <w:ind w:left="720"/>
      <w:contextualSpacing/>
    </w:pPr>
  </w:style>
  <w:style w:type="character" w:customStyle="1" w:styleId="38">
    <w:name w:val="明显强调1"/>
    <w:basedOn w:val="21"/>
    <w:qFormat/>
    <w:uiPriority w:val="21"/>
    <w:rPr>
      <w:i/>
      <w:iCs/>
      <w:color w:val="2E75B6" w:themeColor="accent1" w:themeShade="BF"/>
    </w:rPr>
  </w:style>
  <w:style w:type="paragraph" w:styleId="39">
    <w:name w:val="Intense Quote"/>
    <w:basedOn w:val="1"/>
    <w:next w:val="1"/>
    <w:link w:val="40"/>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40">
    <w:name w:val="明显引用 字符"/>
    <w:basedOn w:val="21"/>
    <w:link w:val="39"/>
    <w:qFormat/>
    <w:uiPriority w:val="30"/>
    <w:rPr>
      <w:i/>
      <w:iCs/>
      <w:color w:val="2E75B6" w:themeColor="accent1" w:themeShade="BF"/>
    </w:rPr>
  </w:style>
  <w:style w:type="character" w:customStyle="1" w:styleId="41">
    <w:name w:val="明显参考1"/>
    <w:basedOn w:val="21"/>
    <w:qFormat/>
    <w:uiPriority w:val="32"/>
    <w:rPr>
      <w:b/>
      <w:bCs/>
      <w:smallCaps/>
      <w:color w:val="2E75B6" w:themeColor="accent1" w:themeShade="BF"/>
      <w:spacing w:val="5"/>
    </w:rPr>
  </w:style>
  <w:style w:type="character" w:customStyle="1" w:styleId="42">
    <w:name w:val="日期 字符"/>
    <w:basedOn w:val="21"/>
    <w:link w:val="12"/>
    <w:semiHidden/>
    <w:qFormat/>
    <w:uiPriority w:val="99"/>
  </w:style>
  <w:style w:type="character" w:customStyle="1" w:styleId="43">
    <w:name w:val="列表段落 字符"/>
    <w:link w:val="37"/>
    <w:qFormat/>
    <w:uiPriority w:val="34"/>
  </w:style>
  <w:style w:type="paragraph" w:customStyle="1" w:styleId="44">
    <w:name w:val="null3"/>
    <w:hidden/>
    <w:qFormat/>
    <w:uiPriority w:val="0"/>
    <w:rPr>
      <w:rFonts w:hint="eastAsia" w:asciiTheme="minorHAnsi" w:hAnsiTheme="minorHAnsi" w:eastAsiaTheme="minorEastAsia" w:cstheme="minorBidi"/>
      <w:lang w:val="en-US" w:eastAsia="zh-Hans" w:bidi="ar-SA"/>
    </w:rPr>
  </w:style>
  <w:style w:type="paragraph" w:customStyle="1" w:styleId="45">
    <w:name w:val="0正文"/>
    <w:basedOn w:val="1"/>
    <w:link w:val="46"/>
    <w:qFormat/>
    <w:uiPriority w:val="0"/>
    <w:pPr>
      <w:adjustRightInd w:val="0"/>
      <w:spacing w:line="360" w:lineRule="auto"/>
      <w:ind w:firstLine="480" w:firstLineChars="200"/>
      <w:textAlignment w:val="baseline"/>
    </w:pPr>
    <w:rPr>
      <w:rFonts w:ascii="Verdana" w:hAnsi="Verdana" w:eastAsia="华文中宋"/>
      <w:color w:val="0070C0"/>
      <w:sz w:val="24"/>
      <w:szCs w:val="24"/>
    </w:rPr>
  </w:style>
  <w:style w:type="character" w:customStyle="1" w:styleId="46">
    <w:name w:val="0正文 Char Char"/>
    <w:link w:val="45"/>
    <w:qFormat/>
    <w:uiPriority w:val="0"/>
    <w:rPr>
      <w:rFonts w:ascii="Verdana" w:hAnsi="Verdana" w:eastAsia="华文中宋"/>
      <w:color w:val="0070C0"/>
      <w:sz w:val="24"/>
      <w:szCs w:val="24"/>
    </w:rPr>
  </w:style>
  <w:style w:type="paragraph" w:customStyle="1" w:styleId="47">
    <w:name w:val="Table Paragraph"/>
    <w:basedOn w:val="1"/>
    <w:qFormat/>
    <w:uiPriority w:val="0"/>
    <w:pPr>
      <w:autoSpaceDE w:val="0"/>
      <w:autoSpaceDN w:val="0"/>
      <w:adjustRightInd w:val="0"/>
      <w:jc w:val="left"/>
    </w:pPr>
    <w:rPr>
      <w:rFonts w:ascii="宋体" w:hAnsi="Times New Roman" w:eastAsia="宋体" w:cs="宋体"/>
      <w:kern w:val="0"/>
      <w:sz w:val="24"/>
      <w:szCs w:val="24"/>
    </w:rPr>
  </w:style>
  <w:style w:type="character" w:customStyle="1" w:styleId="48">
    <w:name w:val="批注文字 字符"/>
    <w:basedOn w:val="21"/>
    <w:link w:val="11"/>
    <w:semiHidden/>
    <w:qFormat/>
    <w:uiPriority w:val="99"/>
    <w:rPr>
      <w:kern w:val="2"/>
      <w:sz w:val="21"/>
      <w:szCs w:val="22"/>
    </w:rPr>
  </w:style>
  <w:style w:type="character" w:customStyle="1" w:styleId="49">
    <w:name w:val="批注主题 字符"/>
    <w:basedOn w:val="48"/>
    <w:link w:val="18"/>
    <w:semiHidden/>
    <w:qFormat/>
    <w:uiPriority w:val="99"/>
    <w:rPr>
      <w:b/>
      <w:bCs/>
      <w:kern w:val="2"/>
      <w:sz w:val="21"/>
      <w:szCs w:val="22"/>
    </w:rPr>
  </w:style>
  <w:style w:type="paragraph" w:customStyle="1" w:styleId="50">
    <w:name w:val="表格文字"/>
    <w:basedOn w:val="1"/>
    <w:qFormat/>
    <w:uiPriority w:val="0"/>
    <w:pPr>
      <w:spacing w:before="25" w:after="25" w:line="300" w:lineRule="auto"/>
    </w:pPr>
    <w:rPr>
      <w:rFonts w:ascii="Cambria Math" w:hAnsi="Cambria Math" w:eastAsia="宋体" w:cs="Times New Roman"/>
      <w:spacing w:val="10"/>
      <w:kern w:val="0"/>
      <w:sz w:val="24"/>
      <w:szCs w:val="20"/>
    </w:rPr>
  </w:style>
  <w:style w:type="character" w:customStyle="1" w:styleId="51">
    <w:name w:val="页眉 字符"/>
    <w:basedOn w:val="21"/>
    <w:link w:val="14"/>
    <w:qFormat/>
    <w:uiPriority w:val="99"/>
    <w:rPr>
      <w:kern w:val="2"/>
      <w:sz w:val="18"/>
      <w:szCs w:val="18"/>
    </w:rPr>
  </w:style>
  <w:style w:type="character" w:customStyle="1" w:styleId="52">
    <w:name w:val="页脚 字符"/>
    <w:basedOn w:val="21"/>
    <w:link w:val="13"/>
    <w:qFormat/>
    <w:uiPriority w:val="99"/>
    <w:rPr>
      <w:kern w:val="2"/>
      <w:sz w:val="18"/>
      <w:szCs w:val="18"/>
    </w:rPr>
  </w:style>
  <w:style w:type="paragraph" w:customStyle="1" w:styleId="53">
    <w:name w:val="List Paragraph1"/>
    <w:basedOn w:val="1"/>
    <w:qFormat/>
    <w:uiPriority w:val="0"/>
    <w:pPr>
      <w:widowControl/>
      <w:spacing w:before="100" w:beforeAutospacing="1" w:after="100" w:afterAutospacing="1"/>
      <w:ind w:left="720"/>
      <w:contextualSpacing/>
      <w:jc w:val="left"/>
    </w:pPr>
    <w:rPr>
      <w:rFonts w:ascii="Calibri" w:hAnsi="Calibri" w:eastAsia="宋体" w:cs="Times New Roman"/>
      <w:kern w:val="0"/>
      <w:sz w:val="24"/>
      <w:szCs w:val="24"/>
    </w:rPr>
  </w:style>
  <w:style w:type="character" w:customStyle="1" w:styleId="54">
    <w:name w:val="font11"/>
    <w:basedOn w:val="21"/>
    <w:qFormat/>
    <w:uiPriority w:val="0"/>
    <w:rPr>
      <w:rFonts w:hint="eastAsia" w:ascii="宋体" w:hAnsi="宋体" w:eastAsia="宋体"/>
      <w:color w:val="000000"/>
      <w:sz w:val="21"/>
      <w:szCs w:val="21"/>
      <w:u w:val="none"/>
    </w:rPr>
  </w:style>
  <w:style w:type="character" w:customStyle="1" w:styleId="55">
    <w:name w:val="font21"/>
    <w:basedOn w:val="21"/>
    <w:qFormat/>
    <w:uiPriority w:val="0"/>
    <w:rPr>
      <w:rFonts w:hint="eastAsia" w:ascii="宋体" w:hAnsi="宋体" w:eastAsia="宋体"/>
      <w:color w:val="000000"/>
      <w:sz w:val="21"/>
      <w:szCs w:val="21"/>
      <w:u w:val="none"/>
    </w:rPr>
  </w:style>
  <w:style w:type="paragraph" w:customStyle="1" w:styleId="56">
    <w:name w:val="dingdocnormal"/>
    <w:qFormat/>
    <w:uiPriority w:val="0"/>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AB6AAA52-01DF-4DC9-973F-C23DB3B484A5}">
  <ds:schemaRefs/>
</ds:datastoreItem>
</file>

<file path=docProps/app.xml><?xml version="1.0" encoding="utf-8"?>
<Properties xmlns="http://schemas.openxmlformats.org/officeDocument/2006/extended-properties" xmlns:vt="http://schemas.openxmlformats.org/officeDocument/2006/docPropsVTypes">
  <Template>Normal</Template>
  <Pages>6</Pages>
  <Words>3098</Words>
  <Characters>3113</Characters>
  <Lines>18</Lines>
  <Paragraphs>5</Paragraphs>
  <TotalTime>35</TotalTime>
  <ScaleCrop>false</ScaleCrop>
  <LinksUpToDate>false</LinksUpToDate>
  <CharactersWithSpaces>3118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2025-04-22T18:52:00Z</dcterms:created>
  <dc:creator>john</dc:creator>
  <cp:lastModifiedBy>PC</cp:lastModifiedBy>
  <dcterms:modified xsi:type="dcterms:W3CDTF">2026-05-13T08:47:04Z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eyJoZGlkIjoiNGZmY2UxNjg2OTE5ZGJiYWNkN2I2YWZkMGFmM2JiNWYiLCJ1c2VySWQiOiIxNjgyNzQ1NzEwIn0=</vt:lpwstr>
  </property>
  <property fmtid="{D5CDD505-2E9C-101B-9397-08002B2CF9AE}" pid="3" name="KSOProductBuildVer">
    <vt:lpwstr>2052-12.1.0.25865</vt:lpwstr>
  </property>
  <property fmtid="{D5CDD505-2E9C-101B-9397-08002B2CF9AE}" pid="4" name="ICV">
    <vt:lpwstr>23FC49B308155D390CF2FA69038F50ED_43</vt:lpwstr>
  </property>
</Properties>
</file>