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4B82">
      <w:pPr>
        <w:spacing w:before="480" w:after="48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b/>
          <w:sz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</w:rPr>
        <w:t>中大口腔AI口腔健康管家系统</w:t>
      </w:r>
    </w:p>
    <w:p w14:paraId="0B986050">
      <w:pPr>
        <w:spacing w:before="480" w:after="480" w:line="288" w:lineRule="auto"/>
        <w:ind w:left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52"/>
        </w:rPr>
        <w:t>项目调研需求书</w:t>
      </w:r>
    </w:p>
    <w:p w14:paraId="3E87EE02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32"/>
        </w:rPr>
        <w:t>一、项目基本信息</w:t>
      </w:r>
      <w:bookmarkEnd w:id="0"/>
    </w:p>
    <w:p w14:paraId="0636F8AB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0"/>
        </w:rPr>
        <w:t>1.1 项目名称</w:t>
      </w:r>
      <w:bookmarkEnd w:id="1"/>
    </w:p>
    <w:p w14:paraId="2163A83C">
      <w:pPr>
        <w:spacing w:before="300" w:after="120" w:line="288" w:lineRule="auto"/>
        <w:ind w:left="0" w:firstLine="480" w:firstLineChars="200"/>
        <w:jc w:val="left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中大口腔AI口腔健康管家系统项目调研需求书</w:t>
      </w:r>
    </w:p>
    <w:p w14:paraId="0D8ED02E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0"/>
        </w:rPr>
        <w:t>1.2 项目背景</w:t>
      </w:r>
      <w:bookmarkEnd w:id="2"/>
    </w:p>
    <w:p w14:paraId="50AF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口腔专科医院，中山大学附属口腔医院承担口腔疾病诊疗、教学科研及公共卫生服务等核心职能。为进一步推进智慧医疗建设，优化门诊服务流程，提升患者就医体验与医护工作效率，拟通过厂商调研筛选适配的智慧医疗就医助手系统，为后续项目落地提供决策依据。</w:t>
      </w:r>
    </w:p>
    <w:p w14:paraId="7C723F73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30"/>
        </w:rPr>
        <w:t>1.3 调研目标</w:t>
      </w:r>
      <w:bookmarkEnd w:id="3"/>
    </w:p>
    <w:p w14:paraId="4EDDB6A8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验证厂商产品核心功能与医院业务需求的匹配程度，确保满足基础就医服务场景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EE4C5C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评估厂商在系统对接、数据安全、项目实施等方面的综合能力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42EC1CA5">
      <w:pPr>
        <w:pStyle w:val="2"/>
        <w:rPr>
          <w:rFonts w:hint="eastAsia"/>
        </w:rPr>
      </w:pPr>
    </w:p>
    <w:p w14:paraId="53D52D64">
      <w:pPr>
        <w:pStyle w:val="2"/>
        <w:rPr>
          <w:rFonts w:hint="eastAsia"/>
        </w:rPr>
      </w:pPr>
    </w:p>
    <w:p w14:paraId="4334A1E9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</w:pPr>
    </w:p>
    <w:p w14:paraId="2AC03C50">
      <w:pP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br w:type="page"/>
      </w:r>
    </w:p>
    <w:p w14:paraId="2E7E8598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t>二、功能参数</w:t>
      </w:r>
    </w:p>
    <w:p w14:paraId="463F4B13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</w:pPr>
      <w:bookmarkStart w:id="4" w:name="heading_6"/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0"/>
        </w:rPr>
        <w:t xml:space="preserve">.1 </w:t>
      </w:r>
      <w:bookmarkEnd w:id="4"/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技术参数</w:t>
      </w:r>
    </w:p>
    <w:tbl>
      <w:tblPr>
        <w:tblStyle w:val="4"/>
        <w:tblW w:w="5149" w:type="pct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78"/>
        <w:gridCol w:w="1745"/>
        <w:gridCol w:w="1400"/>
        <w:gridCol w:w="2000"/>
        <w:gridCol w:w="3227"/>
      </w:tblGrid>
      <w:tr w14:paraId="07EA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5" w:type="pct"/>
            <w:shd w:val="clear" w:color="auto" w:fill="D9D9D9"/>
            <w:noWrap/>
            <w:vAlign w:val="center"/>
          </w:tcPr>
          <w:p w14:paraId="0F77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shd w:val="clear" w:color="auto" w:fill="D9D9D9"/>
            <w:noWrap/>
            <w:vAlign w:val="center"/>
          </w:tcPr>
          <w:p w14:paraId="7E65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850" w:type="pct"/>
            <w:shd w:val="clear" w:color="auto" w:fill="D9D9D9"/>
            <w:noWrap/>
            <w:vAlign w:val="center"/>
          </w:tcPr>
          <w:p w14:paraId="47F5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一级功能</w:t>
            </w:r>
          </w:p>
        </w:tc>
        <w:tc>
          <w:tcPr>
            <w:tcW w:w="682" w:type="pct"/>
            <w:shd w:val="clear" w:color="auto" w:fill="D9D9D9"/>
            <w:noWrap/>
            <w:vAlign w:val="center"/>
          </w:tcPr>
          <w:p w14:paraId="0B2E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二级功能</w:t>
            </w:r>
          </w:p>
        </w:tc>
        <w:tc>
          <w:tcPr>
            <w:tcW w:w="974" w:type="pct"/>
            <w:shd w:val="clear" w:color="auto" w:fill="D9D9D9"/>
            <w:noWrap/>
            <w:vAlign w:val="center"/>
          </w:tcPr>
          <w:p w14:paraId="5FA5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详细功能点</w:t>
            </w:r>
          </w:p>
        </w:tc>
        <w:tc>
          <w:tcPr>
            <w:tcW w:w="1572" w:type="pct"/>
            <w:shd w:val="clear" w:color="auto" w:fill="D9D9D9"/>
            <w:vAlign w:val="center"/>
          </w:tcPr>
          <w:p w14:paraId="35B4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技术参数描述</w:t>
            </w:r>
          </w:p>
        </w:tc>
      </w:tr>
      <w:tr w14:paraId="2E77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1427A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  <w:vAlign w:val="center"/>
          </w:tcPr>
          <w:p w14:paraId="52EA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AI智能挂号​</w:t>
            </w: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62196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症状智能分析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6E44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多模态症状采集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70A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语音输入与识别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484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支持用户通过麦克风实时录入症状描述，语音识别（ASR）引擎将语音实时转为文字。</w:t>
            </w:r>
          </w:p>
        </w:tc>
      </w:tr>
      <w:tr w14:paraId="57DB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1D45B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68B1C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41C75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7ABC4C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ED0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文本自由输入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8D5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提供文本输入框，支持用户以自然语言文本形式描述症状，系统实时接收并处理。</w:t>
            </w:r>
          </w:p>
        </w:tc>
      </w:tr>
      <w:tr w14:paraId="6E9C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0367C8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122E4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21F17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49606E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943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上下文感知追问引擎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2CE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AI能基于用户已描述的上一句话，自动生成符合医学问诊逻辑的下一轮追问问题，形成连贯对话。</w:t>
            </w:r>
          </w:p>
        </w:tc>
      </w:tr>
      <w:tr w14:paraId="7745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0F8CE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0B22A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5EE1E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79838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A54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症状要素结构化提取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604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从对话文本中自动识别并提取“部位、性质、程度、时间、诱因、缓解因素、伴随症状”等关键医学要素，并填充至结构化表单。</w:t>
            </w:r>
          </w:p>
        </w:tc>
      </w:tr>
      <w:tr w14:paraId="1A7E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41B12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748F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1AB5D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CFCB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0D75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医学术语映射引擎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A3B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内置医学同义词、俗称术语库，能将用户口语（如“拉肚子”）自动映射为标准医学术语（“腹泻”）。</w:t>
            </w:r>
          </w:p>
        </w:tc>
      </w:tr>
      <w:tr w14:paraId="6AE2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DBDBD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DD11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6AD58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4D1EF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263D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标准编码关联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6D1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将标准化后的症状术语，与ICD-10等标准疾病分类与编码体系进行关联，输出标准化编码。</w:t>
            </w:r>
          </w:p>
        </w:tc>
      </w:tr>
      <w:tr w14:paraId="604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17B15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4CA64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1CC51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3A32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智能推荐引擎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C42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知识图谱查询与匹配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630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后台基于“症状-疾病-科室”知识图谱，执行图查询算法，计算用户症状集合与各科室诊疗范围的匹配度分数。</w:t>
            </w:r>
          </w:p>
        </w:tc>
      </w:tr>
      <w:tr w14:paraId="070A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72069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14FE2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6F635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779E9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A25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医生擅长模型匹配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C03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将用户标准化后的症状/疾病编码，与医生档案中的“擅长疾病”标签进行匹配，计算医生维度匹配分。</w:t>
            </w:r>
          </w:p>
        </w:tc>
      </w:tr>
      <w:tr w14:paraId="62D1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1BB5BC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979B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61C3A7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649F7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564D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推荐算法融合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8B3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融合“科室匹配分”、“医生匹配分”、“号源可及性”、“患者评价”等多个权重，通过算法模型输出最终推荐排序列表。</w:t>
            </w:r>
          </w:p>
        </w:tc>
      </w:tr>
      <w:tr w14:paraId="755A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0488D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789624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59B61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D0A05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255E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个性化看板渲染引擎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09C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前端根据推荐列表，动态渲染包含科室医生卡片、匹配度、号源状态标签等视图的交互式界面。</w:t>
            </w:r>
          </w:p>
        </w:tc>
      </w:tr>
      <w:tr w14:paraId="782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15C75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3AE70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0B6F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号源精准匹配​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1451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智能号源管理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0008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号源实时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207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以高频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（如每秒）调用接口，同步全院号源的“可挂、已挂、停诊”状态。</w:t>
            </w:r>
          </w:p>
        </w:tc>
      </w:tr>
      <w:tr w14:paraId="0396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73FC1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0C6D2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1FB96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48ACAF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30E4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号源状态可视化组件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799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在UI界面上，用不同颜色（绿/黄/红/灰）和文字明确标识号源“无号、预约”状态。</w:t>
            </w:r>
          </w:p>
        </w:tc>
      </w:tr>
      <w:tr w14:paraId="501B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189BC0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30FA0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772F4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2BE4B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149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实时监控任务调度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0F4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创建并管理后台监控任务，通过用户语义识别，以高频率查询匹配患者的号源。</w:t>
            </w:r>
          </w:p>
        </w:tc>
      </w:tr>
      <w:tr w14:paraId="6268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FB339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1A441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6DA72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2D086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5180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高并发低时延抢号接口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806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设计专用的高性能匹配接口，优化网络链路与处理逻辑，确保从监测到号源到发起锁定请求的端到端延迟。</w:t>
            </w:r>
          </w:p>
        </w:tc>
      </w:tr>
      <w:tr w14:paraId="78D7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5D5940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65395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1AF11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6CE7C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56A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号源瞬时锁定与占位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A09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调用号源锁定接口，在用户支付前完成号源的临时占用，防止被其他渠道抢占，并设置占位有效期（如15分钟）。</w:t>
            </w:r>
          </w:p>
        </w:tc>
      </w:tr>
      <w:tr w14:paraId="450C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5AA904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  <w:vAlign w:val="center"/>
          </w:tcPr>
          <w:p w14:paraId="7902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AI智能预问诊</w:t>
            </w: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42B4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多模态智能交互采集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CC8D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人性化症状录入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3210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语音/文本/图片多模态输入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A0D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支持患者通过说话、打字、拍摄报告等多种最自然的方式描述病情。内置高精度语音识别（ASR）与报告文字识别（OCR）技术，显著降低各年龄段用户（尤其老年群体）的操作门槛，确保主诉信息得以无遗漏采集。</w:t>
            </w:r>
          </w:p>
        </w:tc>
      </w:tr>
      <w:tr w14:paraId="1EA8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5B2AA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43FDD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413BA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546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AI引导式深度追问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0A94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结构化症状要素提取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DE1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AI模拟医生思维进行自动多轮追问，系统性地引导患者描述症状的部位、性质、持续时间等七大关键要素。将零散、模糊的主诉转化为结构化、高质量的临床数据，为精准分诊与医生快速判断奠定坚实基础。</w:t>
            </w:r>
          </w:p>
        </w:tc>
      </w:tr>
      <w:tr w14:paraId="70D4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0227B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4D938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7070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智能病历草稿生成​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FA2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自动报告合成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6ADF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一键生成结构化预问诊草稿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66F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将采集的所有信息（现病史、既往史、过敏史等）自动整合，生成一份格式规范、逻辑清晰、符合病历书写要求的预问诊报告，并支持患者端预览与确认，提升信息透明度。</w:t>
            </w:r>
          </w:p>
        </w:tc>
      </w:tr>
      <w:tr w14:paraId="03B5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EC888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C28E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0C994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F7C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关键信息智能高亮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3AD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阳性体征与异常提示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E5A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在生成的报告中，AI自动识别并高亮标记异常症状、重要既往史等关键临床信息，帮助医生在数秒内抓住重点，大幅提升诊前阅知效率。</w:t>
            </w:r>
          </w:p>
        </w:tc>
      </w:tr>
      <w:tr w14:paraId="31FD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1B2A8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2A750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3159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诊疗流程无缝对接​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5F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报告一键同步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902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预问诊报告对接医院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App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C2E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支持将完成的预问诊报告一键同步至医生工作站，并可自动填充至电子病历相应栏目。将医生从繁复的基础信息录入工作中解放出来，平均为每次问诊节省3-5分钟，使其能更专注于诊断与沟通。</w:t>
            </w:r>
          </w:p>
        </w:tc>
      </w:tr>
      <w:tr w14:paraId="6ACE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39FC5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6A88D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5483F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标准化数据资产沉淀​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6E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临床数据标准化入库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5392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医学术语标准化编码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695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所有采集的信息在后台均以标准化医学术语（如ICD-10）进行存储。为医院构建高质量、结构化的临床科研数据库，为疾病分析、疗效评价等提供宝贵的数据资产。</w:t>
            </w:r>
          </w:p>
        </w:tc>
      </w:tr>
      <w:tr w14:paraId="7605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028DA0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restart"/>
            <w:shd w:val="clear" w:color="auto" w:fill="auto"/>
            <w:noWrap/>
            <w:vAlign w:val="center"/>
          </w:tcPr>
          <w:p w14:paraId="28139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AI智能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助手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01DC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职工端问答机器人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55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职工端问答机器人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60E7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职工端全场景流程答疑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857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AI机器人可即时、准确地回答关于院内职工要求、相关政策、规整制度等问题。实现服务请求的即时响应。</w:t>
            </w:r>
          </w:p>
        </w:tc>
      </w:tr>
      <w:tr w14:paraId="292E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48D1C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05AB7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0052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患者端问答机器人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19D03CC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患者端问答机器人</w:t>
            </w:r>
          </w:p>
          <w:p w14:paraId="03CB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59F8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全场景流程答疑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A10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AI机器人可即时、准确地回答关于挂号、签到、候诊、检查、缴费、取药、入院、出院等全流程问题。将人工客服从80%以上的重复性、标准化咨询中解放出来，实现服务请求的即时响应。</w:t>
            </w:r>
          </w:p>
        </w:tc>
      </w:tr>
      <w:tr w14:paraId="4157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9AEE3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59E2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5D15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4FF2BA65">
            <w:pPr>
              <w:jc w:val="center"/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6749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科室与医生信息查询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1F1F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支持通过自然语言查询科室位置、出诊时间、医生专长等信息，并提供直接引导或预约链接。缩短患者查找信息路径，提升医院信息服务的可及性与效率。</w:t>
            </w:r>
          </w:p>
        </w:tc>
      </w:tr>
      <w:tr w14:paraId="239B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01D9D8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450A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4C305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5120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2D94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多维费用查询与解读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C8F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支持患者查询检查项目、药品、治疗项目的收费标准。提升费用透明度，减少因费用不清导致的现场纠纷。</w:t>
            </w:r>
          </w:p>
        </w:tc>
      </w:tr>
      <w:tr w14:paraId="5973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79579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1DB8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377B0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7C0FC9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52E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医保政策精准解读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EDD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集成各地医保政策知识库，可准确解答报销比例、起付线、医保目录、结算流程等复杂问题。充当“医保政策计算器”，降低患者理解门槛，减少医保办咨询压力。</w:t>
            </w:r>
          </w:p>
        </w:tc>
      </w:tr>
      <w:tr w14:paraId="0253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0C8447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285EE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7A93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3E4DC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78A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异地就医备案指引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111E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提供清晰的异地就医备案条件、所需材料、办理流程及线上办理入口指引。化繁为简，解决异地患者最大的办事困惑，提升跨区域就医服务体验。</w:t>
            </w:r>
          </w:p>
        </w:tc>
      </w:tr>
      <w:tr w14:paraId="4D58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DC34D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426B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3BB6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上下文感知型多轮对话引擎​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</w:tcPr>
          <w:p w14:paraId="103A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深度语义理解与意图识别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6FF1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上下文关联对话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98F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语言模型（LLM）与医院知识库，支持多轮连续对话，准确理解如“我挂了张医生的号，怎么走？”、“检查前要注意什么？”等上下文关联问题。提供接近真人的连贯对话体验，显著提升复杂问题的一次解决率。</w:t>
            </w:r>
          </w:p>
        </w:tc>
      </w:tr>
      <w:tr w14:paraId="2906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33D112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0DF2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7372B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vMerge w:val="continue"/>
            <w:shd w:val="clear" w:color="auto" w:fill="auto"/>
            <w:noWrap/>
            <w:vAlign w:val="center"/>
          </w:tcPr>
          <w:p w14:paraId="136B4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142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模糊意图澄清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B68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当患者描述模糊时（如“肚子不舒服该看哪？”），AI能通过智能追问澄清具体症状、部位、持续时间等，精准定位患者真实需求，避免答非所问，提升服务专业度。</w:t>
            </w:r>
          </w:p>
        </w:tc>
      </w:tr>
      <w:tr w14:paraId="047D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89901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73DF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14:paraId="71913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分析​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4FEB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智能客服分析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441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问答数据洞察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972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分析高频问题、热点咨询时段、解决率、用户满意度等核心指标。精准定位服务短板与知识盲区，为优化服务流程与培训重点提供数据决策支持。</w:t>
            </w:r>
          </w:p>
        </w:tc>
      </w:tr>
      <w:tr w14:paraId="5BF6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3278E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04DF5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0493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12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智能客服调用分析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10AD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对话量统计报表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75C6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管理后台实时展示每日、每周、每月的患者咨询量数据，包括各渠道分布、各时段峰值、各科室咨询占比等，并支持自定义时间范围的趋势图表，方便管理层掌握整体服务规模。</w:t>
            </w:r>
          </w:p>
        </w:tc>
      </w:tr>
      <w:tr w14:paraId="78A9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10A75D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36355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319C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0F4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智能客服命中率分析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77CC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知识命中率追踪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0AA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系统持续监测AI回答的准确率和知识命中情况，哪些问题被准确回答了、哪些没有答上来、未能回答的问题是什么类型，都有详细数据记录，帮助运营人员快速发现知识库的薄弱环节。</w:t>
            </w:r>
          </w:p>
        </w:tc>
      </w:tr>
      <w:tr w14:paraId="659D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34E28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097D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7AB4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D5D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智能客服反馈分析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3F9C1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患者负面反馈自动归因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A19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当患者对AI回答表示不满意时，系统自动对这些负面反馈进行分类归因（如[回答不准确]、[无法理解我的问题]、[没有我需要的信息]），帮助运营人员快速定位问题根源。</w:t>
            </w:r>
          </w:p>
        </w:tc>
      </w:tr>
      <w:tr w14:paraId="4255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A4E5B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462D8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51EF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BD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智能客服回答质量评分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384C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AI回答质量评分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1F9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系统对每条AI回答自动进行质量评分，从回答准确性、完整性、表达清晰度等多个维度打分，管理员可以查看低分回答并人工复核改进，持续保障服务质量。</w:t>
            </w:r>
          </w:p>
        </w:tc>
      </w:tr>
      <w:tr w14:paraId="330A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09B92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65CA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noWrap/>
            <w:vAlign w:val="center"/>
          </w:tcPr>
          <w:p w14:paraId="63BE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0F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热点洞察</w:t>
            </w:r>
          </w:p>
        </w:tc>
        <w:tc>
          <w:tcPr>
            <w:tcW w:w="974" w:type="pct"/>
            <w:shd w:val="clear" w:color="auto" w:fill="auto"/>
            <w:noWrap/>
            <w:vAlign w:val="center"/>
          </w:tcPr>
          <w:p w14:paraId="4EFF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患者关注热点分析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609A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系统自动统计和分析患者最近频繁咨询的问题，识别出当前的热点话题（如某种疾病高发季节时的相关咨询激增），及时推送给相关科室和运营人员作为参考。</w:t>
            </w:r>
          </w:p>
        </w:tc>
      </w:tr>
      <w:tr w14:paraId="0F16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F7140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7FB72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6AA8F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数据安全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E2C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4BC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患者隐私数据保护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04C7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所有患者的个人信息、就诊记录、检验结果等敏感数据在系统中均经过加密存储和传输，严格遵守医疗数据保护规范，患者授权机制完善，未经患者同意不会向任何第三方提供数据。</w:t>
            </w:r>
          </w:p>
        </w:tc>
      </w:tr>
      <w:tr w14:paraId="380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5F2FA3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306D1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14:paraId="517D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知识库管理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67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编辑维护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334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知识内容在线编辑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19C8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运营人员可以在管理后台直接新增、修改、删除知识库中的问答内容，支持富文本格式（包含图片、表格），修改后可以预览效果再发布，操作方式和编辑文章类似，无需技术支持。</w:t>
            </w:r>
          </w:p>
        </w:tc>
      </w:tr>
      <w:tr w14:paraId="12F5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9FE5C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62B1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533D1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1381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编辑维护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021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知识版本管理与回滚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357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每次对知识内容的修改都有版本记录，可以清楚看到谁在什么时间做了什么修改。如果发现某次修改导致回答出现问题，可以一键回滚到之前的版本，不用担心误操作造成不可逆影响。</w:t>
            </w:r>
          </w:p>
        </w:tc>
      </w:tr>
      <w:tr w14:paraId="65AB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43D31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35634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7E6FC5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BA5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导入导出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651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批量知识导入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C4F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支持将现有的FAQ文档、科室介绍等内容通过Excel、Word等常见格式批量导入知识库，系统自动解析并格式化，不用一条条手动录入，大幅节省初始化建设时间。</w:t>
            </w:r>
          </w:p>
        </w:tc>
      </w:tr>
      <w:tr w14:paraId="559D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0CDBBD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137B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7F85D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8BE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导入导出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892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知识内容导出备份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CDC5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管理员可以随时将当前知识库内容导出为标准格式文档，方便留存备份、交给第三方审核或迁移到其他系统使用，数据完整保留、格式规范整洁。</w:t>
            </w:r>
          </w:p>
        </w:tc>
      </w:tr>
      <w:tr w14:paraId="7DE5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5FAB74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7BE07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57F98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0109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多源接入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01B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第三方内容源对接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5E28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系统可以对接医院官网、医学权威数据库等外部内容源，自动将相关内容同步到知识库中，运营人员不需要手动复制粘贴，内容变更时也会自动同步更新。</w:t>
            </w:r>
          </w:p>
        </w:tc>
      </w:tr>
      <w:tr w14:paraId="41AB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5A61E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3A3B5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5AEF8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FA3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分类标签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FB4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知识分类与标签管理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90B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知识库内容按科室、疾病类型、问题类型等维度进行分类标注，运营人员可以快速定位到特定类别的内容进行管理，也可以按分类查看AI在各个领域的知识覆盖情况。</w:t>
            </w:r>
          </w:p>
        </w:tc>
      </w:tr>
      <w:tr w14:paraId="2DC5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28FA76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DE44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14:paraId="441D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系统对接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FBF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系统对接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F01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数据对接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4A561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助手与医院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pp进行对接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，保证患者看到的信息与医院内部完全一致。</w:t>
            </w:r>
          </w:p>
        </w:tc>
      </w:tr>
      <w:tr w14:paraId="66BE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4DB874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518AF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4CF6D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7D9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AF7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多入口集成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3C2D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AI助手可以嵌入医院公众号、小程序、医院APP、微信服务号等患者常用渠道，患者在各个入口都能使用同一套AI服务，医院只需部署一次，各渠道自动同步，维护成本低。</w:t>
            </w:r>
          </w:p>
        </w:tc>
      </w:tr>
      <w:tr w14:paraId="7CFA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173EF8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vMerge w:val="continue"/>
            <w:shd w:val="clear" w:color="auto" w:fill="auto"/>
            <w:noWrap/>
            <w:vAlign w:val="center"/>
          </w:tcPr>
          <w:p w14:paraId="171F0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vMerge w:val="continue"/>
            <w:shd w:val="clear" w:color="auto" w:fill="auto"/>
            <w:vAlign w:val="center"/>
          </w:tcPr>
          <w:p w14:paraId="45BA7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8A0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SDK集成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79D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标准化SDK快速接入</w:t>
            </w:r>
          </w:p>
        </w:tc>
        <w:tc>
          <w:tcPr>
            <w:tcW w:w="1572" w:type="pct"/>
            <w:shd w:val="clear" w:color="auto" w:fill="auto"/>
            <w:vAlign w:val="center"/>
          </w:tcPr>
          <w:p w14:paraId="27EC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为有自研能力的医院提供标准化SDK，技术团队可以按照文档快速将AI助手能力集成到医院自有系统中，接入周期短，不需要大规模改造现有系统架构。</w:t>
            </w:r>
          </w:p>
        </w:tc>
      </w:tr>
      <w:tr w14:paraId="1AE6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66C5E0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FD1A6D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云资源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1A2CB273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测试算力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（保障上线前测试环境）</w:t>
            </w:r>
          </w:p>
        </w:tc>
        <w:tc>
          <w:tcPr>
            <w:tcW w:w="3230" w:type="pct"/>
            <w:gridSpan w:val="3"/>
            <w:shd w:val="clear" w:color="auto" w:fill="auto"/>
            <w:vAlign w:val="center"/>
          </w:tcPr>
          <w:p w14:paraId="5A1454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提供三个月的测试算力，配置为：</w:t>
            </w:r>
          </w:p>
          <w:p w14:paraId="289C0E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vCPU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 GB内存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 GB SSD系统盘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 TB 数据盘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8张 GPU加速卡，单卡显存容量≥48 GB GDDR6，单卡 FP16 算力≥55 TFLOPS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，显存带宽：≥800 GB/s</w:t>
            </w:r>
          </w:p>
        </w:tc>
      </w:tr>
      <w:tr w14:paraId="4321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45" w:type="pct"/>
            <w:shd w:val="clear" w:color="auto" w:fill="auto"/>
            <w:noWrap/>
            <w:vAlign w:val="center"/>
          </w:tcPr>
          <w:p w14:paraId="7598A7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A7234E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系统运维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55148E92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免费维保</w:t>
            </w:r>
          </w:p>
        </w:tc>
        <w:tc>
          <w:tcPr>
            <w:tcW w:w="3230" w:type="pct"/>
            <w:gridSpan w:val="3"/>
            <w:shd w:val="clear" w:color="auto" w:fill="auto"/>
            <w:vAlign w:val="center"/>
          </w:tcPr>
          <w:p w14:paraId="19F6F0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自验收合格之日起，提供为期一年的系统免费维保。</w:t>
            </w:r>
          </w:p>
        </w:tc>
      </w:tr>
    </w:tbl>
    <w:p w14:paraId="618B801D">
      <w:pPr>
        <w:bidi w:val="0"/>
        <w:rPr>
          <w:rFonts w:hint="eastAsia"/>
          <w:lang w:val="en-US" w:eastAsia="zh-CN"/>
        </w:rPr>
      </w:pPr>
    </w:p>
    <w:p w14:paraId="2E6A66D1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</w:pPr>
      <w:bookmarkStart w:id="5" w:name="heading_9"/>
    </w:p>
    <w:p w14:paraId="757D3E13">
      <w:pPr>
        <w:spacing w:before="300" w:after="120" w:line="288" w:lineRule="auto"/>
        <w:ind w:left="0"/>
        <w:jc w:val="left"/>
        <w:outlineLvl w:val="2"/>
        <w:rPr>
          <w:rFonts w:hint="default" w:asciiTheme="minorEastAsia" w:hAnsiTheme="minorEastAsia" w:eastAsiaTheme="minorEastAsia" w:cstheme="minorEastAsia"/>
          <w:b/>
          <w:sz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0"/>
        </w:rPr>
        <w:t>.</w:t>
      </w:r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0"/>
        </w:rPr>
        <w:t xml:space="preserve"> </w:t>
      </w:r>
      <w:bookmarkEnd w:id="5"/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配套服务器资源参数</w:t>
      </w:r>
    </w:p>
    <w:tbl>
      <w:tblPr>
        <w:tblStyle w:val="4"/>
        <w:tblW w:w="10279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46"/>
        <w:gridCol w:w="8259"/>
        <w:gridCol w:w="697"/>
      </w:tblGrid>
      <w:tr w14:paraId="4C6A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7" w:type="dxa"/>
            <w:tcBorders>
              <w:tl2br w:val="nil"/>
              <w:tr2bl w:val="nil"/>
            </w:tcBorders>
            <w:noWrap/>
            <w:vAlign w:val="center"/>
          </w:tcPr>
          <w:p w14:paraId="7548F7D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/>
            <w:vAlign w:val="center"/>
          </w:tcPr>
          <w:p w14:paraId="0B5A1AC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8259" w:type="dxa"/>
            <w:tcBorders>
              <w:tl2br w:val="nil"/>
              <w:tr2bl w:val="nil"/>
            </w:tcBorders>
            <w:noWrap/>
            <w:vAlign w:val="center"/>
          </w:tcPr>
          <w:p w14:paraId="7BCC9F86"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配置参数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/>
            <w:vAlign w:val="center"/>
          </w:tcPr>
          <w:p w14:paraId="7410D76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数量</w:t>
            </w:r>
          </w:p>
        </w:tc>
      </w:tr>
      <w:tr w14:paraId="35D7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77" w:type="dxa"/>
            <w:tcBorders>
              <w:tl2br w:val="nil"/>
              <w:tr2bl w:val="nil"/>
            </w:tcBorders>
            <w:noWrap/>
            <w:vAlign w:val="center"/>
          </w:tcPr>
          <w:p w14:paraId="24EF6B90">
            <w:pPr>
              <w:spacing w:line="24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/>
            <w:vAlign w:val="center"/>
          </w:tcPr>
          <w:p w14:paraId="0FFE2A17">
            <w:pPr>
              <w:spacing w:line="24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服务器</w:t>
            </w:r>
          </w:p>
          <w:p w14:paraId="24A15F5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259" w:type="dxa"/>
            <w:tcBorders>
              <w:tl2br w:val="nil"/>
              <w:tr2bl w:val="nil"/>
            </w:tcBorders>
            <w:noWrap/>
            <w:vAlign w:val="center"/>
          </w:tcPr>
          <w:p w14:paraId="04DC1DC5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处理器: ≥2颗英特尔至强金牌6530(2.1GHz/32核/160MB/270W)处理器</w:t>
            </w:r>
          </w:p>
          <w:p w14:paraId="56BFB094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内  存: ≥12条32GB(384GB)DDR5 内存;</w:t>
            </w:r>
          </w:p>
          <w:p w14:paraId="0C1E1EAE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阵列卡: ≥1块12Gb/s SAS阵列控制器(4GB缓存,含超级电容)</w:t>
            </w:r>
          </w:p>
          <w:p w14:paraId="6C3B9E48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硬  盘:≥ 2块480GB 热插拔固态硬盘;</w:t>
            </w:r>
          </w:p>
          <w:p w14:paraId="604C8603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硬  盘: ≥4块1.92TB 热插拔固态硬盘;</w:t>
            </w:r>
          </w:p>
          <w:p w14:paraId="4A34713B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GPU: ≥2块 L20 48G GPU模块；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/>
            <w:vAlign w:val="center"/>
          </w:tcPr>
          <w:p w14:paraId="58E8B641">
            <w:pPr>
              <w:spacing w:line="240" w:lineRule="auto"/>
              <w:ind w:firstLine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1</w:t>
            </w:r>
          </w:p>
        </w:tc>
      </w:tr>
    </w:tbl>
    <w:p w14:paraId="04882A02">
      <w:pPr>
        <w:bidi w:val="0"/>
        <w:rPr>
          <w:rFonts w:hint="eastAsia"/>
        </w:rPr>
      </w:pPr>
    </w:p>
    <w:p w14:paraId="6CAE39A3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sz w:val="32"/>
        </w:rPr>
      </w:pPr>
      <w:bookmarkStart w:id="6" w:name="heading_11"/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、调研响应要求</w:t>
      </w:r>
      <w:bookmarkEnd w:id="6"/>
    </w:p>
    <w:p w14:paraId="2329E416">
      <w:pPr>
        <w:pStyle w:val="2"/>
        <w:rPr>
          <w:rFonts w:hint="eastAsia"/>
        </w:rPr>
      </w:pPr>
    </w:p>
    <w:p w14:paraId="08B886F3">
      <w:pPr>
        <w:spacing w:before="300" w:after="120" w:line="288" w:lineRule="auto"/>
        <w:ind w:left="0"/>
        <w:jc w:val="left"/>
        <w:outlineLvl w:val="2"/>
        <w:rPr>
          <w:rFonts w:hint="default" w:asciiTheme="minorEastAsia" w:hAnsiTheme="minorEastAsia" w:eastAsiaTheme="minorEastAsia" w:cstheme="minorEastAsia"/>
          <w:b/>
          <w:sz w:val="30"/>
          <w:lang w:val="en-US" w:eastAsia="zh-CN"/>
        </w:rPr>
      </w:pPr>
      <w:bookmarkStart w:id="7" w:name="heading_12"/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3.1厂商报名要求</w:t>
      </w:r>
    </w:p>
    <w:p w14:paraId="4A71D765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响应材料需真实有效，虚假信息将取消后续参与资格</w:t>
      </w:r>
    </w:p>
    <w:p w14:paraId="2CCDD7DB">
      <w:pPr>
        <w:numPr>
          <w:ilvl w:val="0"/>
          <w:numId w:val="3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厂商需承诺响应材料中的技术参数、服务标准可作为后续合同条款</w:t>
      </w:r>
    </w:p>
    <w:p w14:paraId="23394B67">
      <w:pPr>
        <w:numPr>
          <w:ilvl w:val="0"/>
          <w:numId w:val="3"/>
        </w:numPr>
        <w:spacing w:before="120" w:after="120" w:line="360" w:lineRule="auto"/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针对以上项目需求（不限于）提供完整系统建设方案。</w:t>
      </w:r>
    </w:p>
    <w:p w14:paraId="473A3D8E">
      <w:pPr>
        <w:numPr>
          <w:ilvl w:val="0"/>
          <w:numId w:val="3"/>
        </w:numPr>
        <w:spacing w:before="120" w:after="120" w:line="360" w:lineRule="auto"/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针对以上项目需求提供报价单。</w:t>
      </w:r>
    </w:p>
    <w:bookmarkEnd w:id="7"/>
    <w:p w14:paraId="6691B74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724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D6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0BDC7"/>
    <w:multiLevelType w:val="singleLevel"/>
    <w:tmpl w:val="B670BD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D84809"/>
    <w:multiLevelType w:val="singleLevel"/>
    <w:tmpl w:val="BFD848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6FABA6E"/>
    <w:multiLevelType w:val="singleLevel"/>
    <w:tmpl w:val="F6FAB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88EFF"/>
    <w:rsid w:val="16FFF19F"/>
    <w:rsid w:val="1F37848C"/>
    <w:rsid w:val="26DFE138"/>
    <w:rsid w:val="2BFD534E"/>
    <w:rsid w:val="2D173D86"/>
    <w:rsid w:val="34FE9072"/>
    <w:rsid w:val="355F9DAE"/>
    <w:rsid w:val="37FFD329"/>
    <w:rsid w:val="49914226"/>
    <w:rsid w:val="4E7F6087"/>
    <w:rsid w:val="527D6494"/>
    <w:rsid w:val="52BD3CF6"/>
    <w:rsid w:val="571BBE65"/>
    <w:rsid w:val="576B49BD"/>
    <w:rsid w:val="57D03E0A"/>
    <w:rsid w:val="5BFE472D"/>
    <w:rsid w:val="5D5A4E05"/>
    <w:rsid w:val="5EDF0C9D"/>
    <w:rsid w:val="5EEEA2C5"/>
    <w:rsid w:val="5F7BC14B"/>
    <w:rsid w:val="5FAB5874"/>
    <w:rsid w:val="66FB3385"/>
    <w:rsid w:val="6BB69D90"/>
    <w:rsid w:val="6F7D325B"/>
    <w:rsid w:val="6F9F3C65"/>
    <w:rsid w:val="6FDB5115"/>
    <w:rsid w:val="72EF892D"/>
    <w:rsid w:val="74370141"/>
    <w:rsid w:val="75FFCA12"/>
    <w:rsid w:val="775F66E5"/>
    <w:rsid w:val="77D5B328"/>
    <w:rsid w:val="77EBA0E6"/>
    <w:rsid w:val="77F6BBF1"/>
    <w:rsid w:val="77FF6B6F"/>
    <w:rsid w:val="79FE88CF"/>
    <w:rsid w:val="7BBFB595"/>
    <w:rsid w:val="7BDB51DC"/>
    <w:rsid w:val="7BDFE215"/>
    <w:rsid w:val="7C3FF4FA"/>
    <w:rsid w:val="7E6F4244"/>
    <w:rsid w:val="7E7F6F07"/>
    <w:rsid w:val="7EA3CDE5"/>
    <w:rsid w:val="7EBFC7B9"/>
    <w:rsid w:val="7EFF1A6E"/>
    <w:rsid w:val="7F235603"/>
    <w:rsid w:val="7F3B3DC8"/>
    <w:rsid w:val="7F3F30DE"/>
    <w:rsid w:val="7F71BEBC"/>
    <w:rsid w:val="7F75EC6E"/>
    <w:rsid w:val="7F9F62A5"/>
    <w:rsid w:val="7FA3B7C3"/>
    <w:rsid w:val="7FDFE0AC"/>
    <w:rsid w:val="7FFF1398"/>
    <w:rsid w:val="9BBC5E8D"/>
    <w:rsid w:val="9FBDA92C"/>
    <w:rsid w:val="9FBF2B96"/>
    <w:rsid w:val="ACD58E00"/>
    <w:rsid w:val="AEF453E0"/>
    <w:rsid w:val="B47DC103"/>
    <w:rsid w:val="BAE45E10"/>
    <w:rsid w:val="BEFB0427"/>
    <w:rsid w:val="BFF9388C"/>
    <w:rsid w:val="BFFD5302"/>
    <w:rsid w:val="CEFF6BAA"/>
    <w:rsid w:val="CFAD25EB"/>
    <w:rsid w:val="D3FD8CA8"/>
    <w:rsid w:val="D5EF6A50"/>
    <w:rsid w:val="DC3F247A"/>
    <w:rsid w:val="DFF58AFF"/>
    <w:rsid w:val="E7FF2BE0"/>
    <w:rsid w:val="EBF3E6DC"/>
    <w:rsid w:val="ED36D6FA"/>
    <w:rsid w:val="EDEF8800"/>
    <w:rsid w:val="EE3D521D"/>
    <w:rsid w:val="EF7F999E"/>
    <w:rsid w:val="F3E37980"/>
    <w:rsid w:val="F5FFF627"/>
    <w:rsid w:val="F6FBA7B5"/>
    <w:rsid w:val="F77AF9AD"/>
    <w:rsid w:val="F7CA2087"/>
    <w:rsid w:val="F8CEE7BE"/>
    <w:rsid w:val="F8F90F60"/>
    <w:rsid w:val="F93DC5A5"/>
    <w:rsid w:val="F97F7698"/>
    <w:rsid w:val="FAFFF94B"/>
    <w:rsid w:val="FB7FFEC3"/>
    <w:rsid w:val="FCFDFC1B"/>
    <w:rsid w:val="FD7C8735"/>
    <w:rsid w:val="FEDF7F48"/>
    <w:rsid w:val="FF0D3099"/>
    <w:rsid w:val="FFBB67B8"/>
    <w:rsid w:val="FFDFC896"/>
    <w:rsid w:val="FFFD1C34"/>
    <w:rsid w:val="FFFD402A"/>
    <w:rsid w:val="FFFEA500"/>
    <w:rsid w:val="FFFF5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uiPriority w:val="0"/>
    <w:pPr>
      <w:jc w:val="left"/>
    </w:p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31"/>
    <w:basedOn w:val="5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41"/>
    <w:basedOn w:val="5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51"/>
    <w:basedOn w:val="5"/>
    <w:uiPriority w:val="0"/>
    <w:rPr>
      <w:rFonts w:hint="default"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4524</Words>
  <Characters>4729</Characters>
  <TotalTime>2</TotalTime>
  <ScaleCrop>false</ScaleCrop>
  <LinksUpToDate>false</LinksUpToDate>
  <CharactersWithSpaces>4772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2026-04-24T21:16:00Z</dcterms:created>
  <dc:creator>Apache POI</dc:creator>
  <cp:lastModifiedBy>PC</cp:lastModifiedBy>
  <dcterms:modified xsi:type="dcterms:W3CDTF">2026-05-20T07:32:02Z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eyJoZGlkIjoiNGZmY2UxNjg2OTE5ZGJiYWNkN2I2YWZkMGFmM2JiNWYiLCJ1c2VySWQiOiIxNjgyNzQ1NzEwIn0=</vt:lpwstr>
  </property>
  <property fmtid="{D5CDD505-2E9C-101B-9397-08002B2CF9AE}" pid="3" name="KSOProductBuildVer">
    <vt:lpwstr>2052-12.1.0.26375</vt:lpwstr>
  </property>
  <property fmtid="{D5CDD505-2E9C-101B-9397-08002B2CF9AE}" pid="4" name="ICV">
    <vt:lpwstr>1E0D6B9582E5496A89D78773C4A8B56B_13</vt:lpwstr>
  </property>
</Properties>
</file>